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2866" w:tblpY="78"/>
        <w:tblW w:w="9377" w:type="dxa"/>
        <w:tblLook w:val="04A0" w:firstRow="1" w:lastRow="0" w:firstColumn="1" w:lastColumn="0" w:noHBand="0" w:noVBand="1"/>
      </w:tblPr>
      <w:tblGrid>
        <w:gridCol w:w="9377"/>
      </w:tblGrid>
      <w:tr w:rsidR="005859ED" w:rsidRPr="00EA37C1" w14:paraId="25D470BE" w14:textId="77777777" w:rsidTr="006133AB">
        <w:trPr>
          <w:trHeight w:val="997"/>
        </w:trPr>
        <w:tc>
          <w:tcPr>
            <w:tcW w:w="9377" w:type="dxa"/>
            <w:tcBorders>
              <w:top w:val="nil"/>
              <w:left w:val="nil"/>
              <w:bottom w:val="nil"/>
              <w:right w:val="nil"/>
            </w:tcBorders>
          </w:tcPr>
          <w:p w14:paraId="4A2FC63A" w14:textId="4BF5C472" w:rsidR="005859ED" w:rsidRPr="00EA37C1" w:rsidRDefault="005859ED" w:rsidP="002A52EA">
            <w:pPr>
              <w:tabs>
                <w:tab w:val="left" w:pos="2127"/>
              </w:tabs>
              <w:ind w:left="5760"/>
              <w:jc w:val="both"/>
              <w:rPr>
                <w:rFonts w:ascii="Arial" w:hAnsi="Arial" w:cs="Arial"/>
              </w:rPr>
            </w:pPr>
            <w:r w:rsidRPr="00EA37C1">
              <w:rPr>
                <w:rFonts w:ascii="Arial" w:hAnsi="Arial" w:cs="Arial"/>
              </w:rPr>
              <w:t xml:space="preserve">                                                                                                                       </w:t>
            </w:r>
            <w:r w:rsidR="002A52EA" w:rsidRPr="00EA37C1">
              <w:rPr>
                <w:rFonts w:ascii="Arial" w:hAnsi="Arial" w:cs="Arial"/>
              </w:rPr>
              <w:t xml:space="preserve">                   </w:t>
            </w:r>
            <w:r w:rsidRPr="00EA37C1">
              <w:rPr>
                <w:rFonts w:ascii="Arial" w:hAnsi="Arial" w:cs="Arial"/>
                <w:noProof/>
              </w:rPr>
              <w:drawing>
                <wp:inline distT="0" distB="0" distL="0" distR="0" wp14:anchorId="61F60269" wp14:editId="35C76ABC">
                  <wp:extent cx="1777236" cy="838200"/>
                  <wp:effectExtent l="0" t="0" r="0" b="0"/>
                  <wp:docPr id="1902311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311427" name=""/>
                          <pic:cNvPicPr/>
                        </pic:nvPicPr>
                        <pic:blipFill>
                          <a:blip r:embed="rId8"/>
                          <a:stretch>
                            <a:fillRect/>
                          </a:stretch>
                        </pic:blipFill>
                        <pic:spPr>
                          <a:xfrm>
                            <a:off x="0" y="0"/>
                            <a:ext cx="1793216" cy="845736"/>
                          </a:xfrm>
                          <a:prstGeom prst="rect">
                            <a:avLst/>
                          </a:prstGeom>
                        </pic:spPr>
                      </pic:pic>
                    </a:graphicData>
                  </a:graphic>
                </wp:inline>
              </w:drawing>
            </w:r>
          </w:p>
        </w:tc>
      </w:tr>
    </w:tbl>
    <w:p w14:paraId="3CE87AE3" w14:textId="54EAD8AC" w:rsidR="00110690" w:rsidRPr="00EA37C1" w:rsidRDefault="002A52EA" w:rsidP="00245FD8">
      <w:pPr>
        <w:tabs>
          <w:tab w:val="left" w:pos="2127"/>
        </w:tabs>
        <w:spacing w:line="240" w:lineRule="auto"/>
        <w:jc w:val="both"/>
        <w:rPr>
          <w:rFonts w:ascii="Arial" w:hAnsi="Arial" w:cs="Arial"/>
          <w:color w:val="44629C"/>
        </w:rPr>
      </w:pPr>
      <w:r w:rsidRPr="00EA37C1">
        <w:rPr>
          <w:rFonts w:ascii="Arial" w:hAnsi="Arial" w:cs="Arial"/>
        </w:rPr>
        <w:tab/>
      </w:r>
      <w:r w:rsidRPr="00EA37C1">
        <w:rPr>
          <w:rFonts w:ascii="Arial" w:hAnsi="Arial" w:cs="Arial"/>
        </w:rPr>
        <w:tab/>
      </w:r>
      <w:r w:rsidRPr="00EA37C1">
        <w:rPr>
          <w:rFonts w:ascii="Arial" w:hAnsi="Arial" w:cs="Arial"/>
        </w:rPr>
        <w:tab/>
      </w:r>
      <w:r w:rsidRPr="00EA37C1">
        <w:rPr>
          <w:rFonts w:ascii="Arial" w:hAnsi="Arial" w:cs="Arial"/>
        </w:rPr>
        <w:tab/>
      </w:r>
      <w:r w:rsidRPr="00EA37C1">
        <w:rPr>
          <w:rFonts w:ascii="Arial" w:hAnsi="Arial" w:cs="Arial"/>
        </w:rPr>
        <w:tab/>
      </w:r>
      <w:r w:rsidRPr="00EA37C1">
        <w:rPr>
          <w:rFonts w:ascii="Arial" w:hAnsi="Arial" w:cs="Arial"/>
        </w:rPr>
        <w:tab/>
      </w:r>
      <w:r w:rsidRPr="00EA37C1">
        <w:rPr>
          <w:rFonts w:ascii="Arial" w:hAnsi="Arial" w:cs="Arial"/>
        </w:rPr>
        <w:tab/>
      </w:r>
      <w:r w:rsidRPr="00EA37C1">
        <w:rPr>
          <w:rFonts w:ascii="Arial" w:hAnsi="Arial" w:cs="Arial"/>
        </w:rPr>
        <w:tab/>
      </w:r>
      <w:r w:rsidRPr="00EA37C1">
        <w:rPr>
          <w:rFonts w:ascii="Arial" w:hAnsi="Arial" w:cs="Arial"/>
        </w:rPr>
        <w:tab/>
      </w:r>
      <w:r w:rsidRPr="00EA37C1">
        <w:rPr>
          <w:rFonts w:ascii="Arial" w:hAnsi="Arial" w:cs="Arial"/>
        </w:rPr>
        <w:tab/>
      </w:r>
    </w:p>
    <w:p w14:paraId="3DBF27D6" w14:textId="77777777" w:rsidR="00110690" w:rsidRPr="00EA37C1" w:rsidRDefault="00110690" w:rsidP="00110690">
      <w:pPr>
        <w:pStyle w:val="Default"/>
        <w:jc w:val="center"/>
        <w:rPr>
          <w:rFonts w:ascii="Arial" w:hAnsi="Arial" w:cs="Arial"/>
          <w:b/>
          <w:bCs/>
          <w:color w:val="auto"/>
        </w:rPr>
      </w:pPr>
      <w:r w:rsidRPr="00EA37C1">
        <w:rPr>
          <w:rFonts w:ascii="Arial" w:hAnsi="Arial" w:cs="Arial"/>
          <w:b/>
          <w:bCs/>
          <w:color w:val="auto"/>
        </w:rPr>
        <w:t>KREDİLİ GRUP HAYAT SİGORTASI BİLGİLENDİRME FORMU</w:t>
      </w:r>
    </w:p>
    <w:p w14:paraId="6968209F" w14:textId="77777777" w:rsidR="00110690" w:rsidRPr="00EA37C1" w:rsidRDefault="00110690" w:rsidP="00110690">
      <w:pPr>
        <w:pStyle w:val="Default"/>
        <w:jc w:val="center"/>
        <w:rPr>
          <w:rFonts w:ascii="Arial" w:hAnsi="Arial" w:cs="Arial"/>
          <w:color w:val="auto"/>
        </w:rPr>
      </w:pPr>
    </w:p>
    <w:p w14:paraId="5AB85278" w14:textId="4E29D17F" w:rsidR="00110690" w:rsidRPr="00EA37C1" w:rsidRDefault="00110690" w:rsidP="00110690">
      <w:pPr>
        <w:pStyle w:val="Default"/>
        <w:jc w:val="both"/>
        <w:rPr>
          <w:rFonts w:ascii="Arial" w:hAnsi="Arial" w:cs="Arial"/>
          <w:color w:val="auto"/>
        </w:rPr>
      </w:pPr>
      <w:r w:rsidRPr="00EA37C1">
        <w:rPr>
          <w:rFonts w:ascii="Arial" w:hAnsi="Arial" w:cs="Arial"/>
          <w:color w:val="auto"/>
        </w:rPr>
        <w:t xml:space="preserve">Bu bilgilendirme metni, 13.03.2015 tarihli Resmi Gazete’de yayımlanan Bireysel Kredilerle Bağlantılı Sigortalar Uygulama Esasları Yönetmeliği ve 21.02.2022 tarihli 2022/5 Sayılı Bireysel Kredilerle Bağlantılı Sigortalar Uygulama Esasları Yönetmeliğinin Bazı Maddelerinin Uygulanması Hakkında Genelge ve ilgili diğer mevzuatlara istinaden hazırlanmış olup bu metin </w:t>
      </w:r>
      <w:r w:rsidR="00245FD8">
        <w:rPr>
          <w:rFonts w:ascii="Arial" w:hAnsi="Arial" w:cs="Arial"/>
          <w:color w:val="auto"/>
        </w:rPr>
        <w:t>banka</w:t>
      </w:r>
      <w:r w:rsidRPr="00EA37C1">
        <w:rPr>
          <w:rFonts w:ascii="Arial" w:hAnsi="Arial" w:cs="Arial"/>
          <w:color w:val="auto"/>
        </w:rPr>
        <w:t xml:space="preserve"> ile ZURICH YAŞAM VE EMEKLİLİK A.Ş. arasında akdedilmiş olan Kredili Grup Hayat Sigorta Poliçesi kapsamında, Zurich Yaşam ve Emeklilik A.Ş.'nin Sigortalı’yı, prim ödenmesi karşılığında ve Türk Ticaret Kanunu (“TTK”), Hayat Sigortaları Genel Şartları (”Genel Şartlar”), Hayat Grubu Sigortaları Yönetmeliği (“Yönetmelik”) ve ilgili diğer mevzuatlar ile işbu bilgilendirme metni ekinde yer alan Kredili Grup Hayat Sigortası Özel Şartları'na (“Özel Şartlar”) bağlı olarak teminat kapsamına alan sigorta sözleşmesine ilişkin özet bilgiler ile önemli bazı hususlar hakkında genel amaçlı bilgileri içermektedir. Detaylı bilgi için lütfen Kredili Grup Hayat Sigortası Özel Şartları, Hayat Sigortaları Genel Şartları ve Ferdi Kaza Sigortaları Genel Şartları’nı inceleyiniz.</w:t>
      </w:r>
    </w:p>
    <w:p w14:paraId="6C40B635" w14:textId="77777777" w:rsidR="00110690" w:rsidRPr="00EA37C1" w:rsidRDefault="00110690" w:rsidP="00110690">
      <w:pPr>
        <w:pStyle w:val="Default"/>
        <w:jc w:val="both"/>
        <w:rPr>
          <w:rFonts w:ascii="Arial" w:hAnsi="Arial" w:cs="Arial"/>
          <w:color w:val="auto"/>
        </w:rPr>
      </w:pPr>
    </w:p>
    <w:p w14:paraId="099B0FAF" w14:textId="26AED60D" w:rsidR="00110690" w:rsidRPr="00EA37C1" w:rsidRDefault="00110690" w:rsidP="00110690">
      <w:pPr>
        <w:pStyle w:val="Default"/>
        <w:jc w:val="both"/>
        <w:rPr>
          <w:rFonts w:ascii="Arial" w:hAnsi="Arial" w:cs="Arial"/>
          <w:color w:val="FF0000"/>
        </w:rPr>
      </w:pPr>
      <w:r w:rsidRPr="00EA37C1">
        <w:rPr>
          <w:rFonts w:ascii="Arial" w:hAnsi="Arial" w:cs="Arial"/>
          <w:color w:val="auto"/>
        </w:rPr>
        <w:t xml:space="preserve">ZURICH YAŞAM VE EMEKLİLİK A.Ş., Kredili Grup Hayat Sigorta Poliçesi’ne Sigorta Ettiren sıfatıyla taraf olan </w:t>
      </w:r>
      <w:r w:rsidR="00245FD8">
        <w:rPr>
          <w:rFonts w:ascii="Arial" w:hAnsi="Arial" w:cs="Arial"/>
          <w:color w:val="auto"/>
        </w:rPr>
        <w:t>bankadan</w:t>
      </w:r>
      <w:r w:rsidRPr="00EA37C1">
        <w:rPr>
          <w:rFonts w:ascii="Arial" w:hAnsi="Arial" w:cs="Arial"/>
          <w:color w:val="auto"/>
        </w:rPr>
        <w:t xml:space="preserve"> kredi kullanan ve Kredili Grup Hayat Sigorta Poliçesi’ne dahil olan müşterilerinin (“Sigortalı”) sigorta süresi içerisinde Poliçe ile teminat altına alınmış rizikonun gerçekleşmesi sonucu vefat etmesi veya tam ve daimi malul olması durumunda, riskin gerçekleştiği tarihte geçerli olan teminat tutarı ile sınırlı olmak üzere işbu bilgilendirme metni, Özel ve Genel Şartlar ile ilgili diğer mevzuatlar dahilinde tazminat tutarını öder. Vefat durumunda rehinli alacaklının maddi menfaati kadar olan tutarı, rehinli alacaklıya (Dain-i Mürtehin); bakiye teminat tutarı bulunması halinde bu tutar, Sigortalı’nın kanuni varislerine ödenir. Sigortalı’nın tam ve daimi malul kalması durumunda ise teminat Sigortalı’nın kendisine ödenir.</w:t>
      </w:r>
    </w:p>
    <w:p w14:paraId="1CB56CF1" w14:textId="77777777" w:rsidR="00110690" w:rsidRPr="00EA37C1" w:rsidRDefault="00110690" w:rsidP="00110690">
      <w:pPr>
        <w:pStyle w:val="Default"/>
        <w:jc w:val="both"/>
        <w:rPr>
          <w:rFonts w:ascii="Arial" w:hAnsi="Arial" w:cs="Arial"/>
          <w:color w:val="auto"/>
        </w:rPr>
      </w:pPr>
    </w:p>
    <w:p w14:paraId="77210E26" w14:textId="77777777" w:rsidR="00110690" w:rsidRPr="00EA37C1" w:rsidRDefault="00110690" w:rsidP="00110690">
      <w:pPr>
        <w:pStyle w:val="Default"/>
        <w:jc w:val="both"/>
        <w:rPr>
          <w:rFonts w:ascii="Arial" w:hAnsi="Arial" w:cs="Arial"/>
          <w:color w:val="auto"/>
        </w:rPr>
      </w:pPr>
    </w:p>
    <w:p w14:paraId="4A28B546" w14:textId="77777777" w:rsidR="00110690" w:rsidRPr="00EA37C1" w:rsidRDefault="00110690" w:rsidP="00110690">
      <w:pPr>
        <w:pStyle w:val="Default"/>
        <w:numPr>
          <w:ilvl w:val="0"/>
          <w:numId w:val="22"/>
        </w:numPr>
        <w:ind w:left="0"/>
        <w:jc w:val="both"/>
        <w:rPr>
          <w:rFonts w:ascii="Arial" w:hAnsi="Arial" w:cs="Arial"/>
          <w:b/>
          <w:bCs/>
          <w:color w:val="auto"/>
        </w:rPr>
      </w:pPr>
      <w:r w:rsidRPr="00EA37C1">
        <w:rPr>
          <w:rFonts w:ascii="Arial" w:hAnsi="Arial" w:cs="Arial"/>
          <w:b/>
          <w:bCs/>
          <w:color w:val="auto"/>
        </w:rPr>
        <w:t xml:space="preserve">ERKEN AYRILMA DURUMUNDA ÖDEME TUTARININ BELİRLENMESİ </w:t>
      </w:r>
    </w:p>
    <w:p w14:paraId="16BF26CF" w14:textId="77777777" w:rsidR="00110690" w:rsidRPr="00EA37C1" w:rsidRDefault="00110690" w:rsidP="00110690">
      <w:pPr>
        <w:pStyle w:val="Default"/>
        <w:jc w:val="both"/>
        <w:rPr>
          <w:rFonts w:ascii="Arial" w:hAnsi="Arial" w:cs="Arial"/>
          <w:color w:val="auto"/>
        </w:rPr>
      </w:pPr>
      <w:r w:rsidRPr="00EA37C1">
        <w:rPr>
          <w:rFonts w:ascii="Arial" w:hAnsi="Arial" w:cs="Arial"/>
          <w:color w:val="auto"/>
        </w:rPr>
        <w:t>Kredili Grup Hayat Sigortası, birikimsiz bir hayat sigortasıdır. Sözleşmeden cayma hakkının kullanılması durumunda, iadeye konu tutar üzerinden kesinti yapılmaz. Sigorta süresinin 1 yıla eşit veya 1 yıldan kısa olduğu sözleşmelerde, Sigorta Ettiren/Sigortalı’nın otuz günlük cayma süresinden sonra sözleşmeden ayrılma talebinde bulunması durumunda; ilgili poliçe kapsamında herhangi bir tazminat ödemesinin yapılmaması halinde, işlemeyen günlere ait ödenmiş primler iade edilir. Sigorta süresinin 1 yıldan uzun süreli akdedildiği, en az bir yıllık primi ödenmiş ve sigorta sözleşmesinin 1 yıl veya 1 yıldan fazla yürürlükte kaldığı olduğu sözleşmelerde, ayrılma tarihinde tarife teknik esaslarına uygun şekilde hesaplanan aktüeryal matematik karşılık tutarı ile gün esaslı hesaplanan komisyon ve gider payı tutarı iade edilir. Otuz günlük cayma hakkı süresi sona erdikten sonra ayrılma hakkının kullanılabileceği süreye kadar olan dönemde Sigorta Ettiren/Sigortalı’nın iptal ve fesih haklarını kullanması Dain-i Mürtehin’in onayına bağlıdır.</w:t>
      </w:r>
    </w:p>
    <w:p w14:paraId="3E4087A6" w14:textId="77777777" w:rsidR="00110690" w:rsidRPr="00EA37C1" w:rsidRDefault="00110690" w:rsidP="00110690">
      <w:pPr>
        <w:pStyle w:val="Default"/>
        <w:jc w:val="both"/>
        <w:rPr>
          <w:rFonts w:ascii="Arial" w:hAnsi="Arial" w:cs="Arial"/>
          <w:color w:val="auto"/>
        </w:rPr>
      </w:pPr>
    </w:p>
    <w:p w14:paraId="4F926449" w14:textId="20AD26D1" w:rsidR="00110690" w:rsidRPr="00EA37C1" w:rsidRDefault="00110690" w:rsidP="00110690">
      <w:pPr>
        <w:pStyle w:val="Default"/>
        <w:numPr>
          <w:ilvl w:val="0"/>
          <w:numId w:val="22"/>
        </w:numPr>
        <w:ind w:left="0"/>
        <w:jc w:val="both"/>
        <w:rPr>
          <w:rFonts w:ascii="Arial" w:hAnsi="Arial" w:cs="Arial"/>
          <w:b/>
          <w:bCs/>
          <w:color w:val="auto"/>
        </w:rPr>
      </w:pPr>
      <w:r w:rsidRPr="00EA37C1">
        <w:rPr>
          <w:rFonts w:ascii="Arial" w:hAnsi="Arial" w:cs="Arial"/>
          <w:b/>
          <w:bCs/>
          <w:color w:val="auto"/>
        </w:rPr>
        <w:t>SİGORTACI VE ARACIYA İLİŞKİN BİLGİLER</w:t>
      </w:r>
    </w:p>
    <w:p w14:paraId="3E1E179E" w14:textId="77777777" w:rsidR="00110690" w:rsidRPr="00EA37C1" w:rsidRDefault="00110690" w:rsidP="00110690">
      <w:pPr>
        <w:pStyle w:val="Default"/>
        <w:numPr>
          <w:ilvl w:val="0"/>
          <w:numId w:val="23"/>
        </w:numPr>
        <w:ind w:left="0" w:firstLine="0"/>
        <w:jc w:val="both"/>
        <w:rPr>
          <w:rFonts w:ascii="Arial" w:hAnsi="Arial" w:cs="Arial"/>
          <w:color w:val="auto"/>
        </w:rPr>
      </w:pPr>
      <w:r w:rsidRPr="00EA37C1">
        <w:rPr>
          <w:rFonts w:ascii="Arial" w:hAnsi="Arial" w:cs="Arial"/>
          <w:color w:val="auto"/>
        </w:rPr>
        <w:t>Teminatı Veren Sigortacı’nın</w:t>
      </w:r>
    </w:p>
    <w:p w14:paraId="237CCCBC" w14:textId="77777777" w:rsidR="00110690" w:rsidRPr="00EA37C1" w:rsidRDefault="00110690" w:rsidP="00110690">
      <w:pPr>
        <w:pStyle w:val="Default"/>
        <w:ind w:firstLine="360"/>
        <w:jc w:val="both"/>
        <w:rPr>
          <w:rFonts w:ascii="Arial" w:hAnsi="Arial" w:cs="Arial"/>
          <w:color w:val="auto"/>
        </w:rPr>
      </w:pPr>
      <w:r w:rsidRPr="00EA37C1">
        <w:rPr>
          <w:rFonts w:ascii="Arial" w:hAnsi="Arial" w:cs="Arial"/>
          <w:color w:val="auto"/>
        </w:rPr>
        <w:t xml:space="preserve">Ticaret Unvanı: ZURICH YAŞAM VE EMEKLİLİK A.Ş. </w:t>
      </w:r>
    </w:p>
    <w:p w14:paraId="05C714F4" w14:textId="77777777" w:rsidR="00110690" w:rsidRPr="00EA37C1" w:rsidRDefault="00110690" w:rsidP="00110690">
      <w:pPr>
        <w:pStyle w:val="Default"/>
        <w:ind w:firstLine="360"/>
        <w:jc w:val="both"/>
        <w:rPr>
          <w:rFonts w:ascii="Arial" w:hAnsi="Arial" w:cs="Arial"/>
          <w:color w:val="auto"/>
        </w:rPr>
      </w:pPr>
      <w:r w:rsidRPr="00EA37C1">
        <w:rPr>
          <w:rFonts w:ascii="Arial" w:hAnsi="Arial" w:cs="Arial"/>
          <w:color w:val="auto"/>
        </w:rPr>
        <w:t>MERSİS No: 0394 0072 2800 0016</w:t>
      </w:r>
    </w:p>
    <w:p w14:paraId="417B8126" w14:textId="77777777" w:rsidR="00110690" w:rsidRPr="00EA37C1" w:rsidRDefault="00110690" w:rsidP="00110690">
      <w:pPr>
        <w:pStyle w:val="Default"/>
        <w:ind w:firstLine="360"/>
        <w:jc w:val="both"/>
        <w:rPr>
          <w:rFonts w:ascii="Arial" w:hAnsi="Arial" w:cs="Arial"/>
          <w:color w:val="auto"/>
        </w:rPr>
      </w:pPr>
      <w:r w:rsidRPr="00EA37C1">
        <w:rPr>
          <w:rFonts w:ascii="Arial" w:hAnsi="Arial" w:cs="Arial"/>
          <w:color w:val="auto"/>
        </w:rPr>
        <w:t xml:space="preserve">Adresi: Orjin Maslak İş Merkezi, Eski Büyükdere Cad. No: 27 Kat: 12 PK: 34485 Sarıyer / İstanbul </w:t>
      </w:r>
    </w:p>
    <w:p w14:paraId="3A166499" w14:textId="77777777" w:rsidR="00110690" w:rsidRPr="00EA37C1" w:rsidRDefault="00110690" w:rsidP="00110690">
      <w:pPr>
        <w:pStyle w:val="Default"/>
        <w:ind w:firstLine="360"/>
        <w:jc w:val="both"/>
        <w:rPr>
          <w:rFonts w:ascii="Arial" w:hAnsi="Arial" w:cs="Arial"/>
          <w:color w:val="auto"/>
        </w:rPr>
      </w:pPr>
      <w:r w:rsidRPr="00EA37C1">
        <w:rPr>
          <w:rFonts w:ascii="Arial" w:hAnsi="Arial" w:cs="Arial"/>
          <w:color w:val="auto"/>
        </w:rPr>
        <w:t>E-posta Adresi: yasam@zurich.com</w:t>
      </w:r>
    </w:p>
    <w:p w14:paraId="081E1A9A" w14:textId="77777777" w:rsidR="00110690" w:rsidRPr="00EA37C1" w:rsidRDefault="00110690" w:rsidP="00110690">
      <w:pPr>
        <w:pStyle w:val="Default"/>
        <w:ind w:firstLine="360"/>
        <w:jc w:val="both"/>
        <w:rPr>
          <w:rFonts w:ascii="Arial" w:hAnsi="Arial" w:cs="Arial"/>
          <w:color w:val="auto"/>
        </w:rPr>
      </w:pPr>
      <w:r w:rsidRPr="00EA37C1">
        <w:rPr>
          <w:rFonts w:ascii="Arial" w:hAnsi="Arial" w:cs="Arial"/>
          <w:color w:val="auto"/>
        </w:rPr>
        <w:t>Tel: 0850 250 75 00</w:t>
      </w:r>
      <w:r w:rsidRPr="00EA37C1">
        <w:rPr>
          <w:rFonts w:ascii="Arial" w:hAnsi="Arial" w:cs="Arial"/>
        </w:rPr>
        <w:t xml:space="preserve"> </w:t>
      </w:r>
      <w:r w:rsidRPr="00EA37C1">
        <w:rPr>
          <w:rFonts w:ascii="Arial" w:hAnsi="Arial" w:cs="Arial"/>
          <w:color w:val="auto"/>
        </w:rPr>
        <w:t xml:space="preserve"> </w:t>
      </w:r>
    </w:p>
    <w:p w14:paraId="05EF3155" w14:textId="77777777" w:rsidR="00110690" w:rsidRPr="00EA37C1" w:rsidRDefault="00110690" w:rsidP="00110690">
      <w:pPr>
        <w:ind w:firstLine="360"/>
        <w:jc w:val="both"/>
        <w:rPr>
          <w:rFonts w:ascii="Arial" w:hAnsi="Arial" w:cs="Arial"/>
        </w:rPr>
      </w:pPr>
    </w:p>
    <w:p w14:paraId="444443E0" w14:textId="77777777" w:rsidR="00110690" w:rsidRPr="00EA37C1" w:rsidRDefault="00110690" w:rsidP="00110690">
      <w:pPr>
        <w:pStyle w:val="Default"/>
        <w:numPr>
          <w:ilvl w:val="0"/>
          <w:numId w:val="23"/>
        </w:numPr>
        <w:ind w:left="0"/>
        <w:jc w:val="both"/>
        <w:rPr>
          <w:rFonts w:ascii="Arial" w:hAnsi="Arial" w:cs="Arial"/>
          <w:color w:val="auto"/>
        </w:rPr>
      </w:pPr>
      <w:r w:rsidRPr="00EA37C1">
        <w:rPr>
          <w:rFonts w:ascii="Arial" w:hAnsi="Arial" w:cs="Arial"/>
          <w:color w:val="auto"/>
        </w:rPr>
        <w:lastRenderedPageBreak/>
        <w:t>Sözleşmeye Aracılık Eden Kredi Kuruluşu’nın</w:t>
      </w:r>
    </w:p>
    <w:p w14:paraId="09ECB27C" w14:textId="1C56652D" w:rsidR="00110690" w:rsidRPr="00EA37C1" w:rsidRDefault="00110690" w:rsidP="00110690">
      <w:pPr>
        <w:pStyle w:val="Default"/>
        <w:ind w:firstLine="360"/>
        <w:jc w:val="both"/>
        <w:rPr>
          <w:rFonts w:ascii="Arial" w:hAnsi="Arial" w:cs="Arial"/>
          <w:color w:val="auto"/>
        </w:rPr>
      </w:pPr>
      <w:bookmarkStart w:id="0" w:name="_Hlk168740456"/>
      <w:r w:rsidRPr="00EA37C1">
        <w:rPr>
          <w:rFonts w:ascii="Arial" w:hAnsi="Arial" w:cs="Arial"/>
          <w:color w:val="auto"/>
        </w:rPr>
        <w:t xml:space="preserve">Ticaret Unvanı: </w:t>
      </w:r>
    </w:p>
    <w:p w14:paraId="5887E4CF" w14:textId="39742885" w:rsidR="00110690" w:rsidRPr="00EA37C1" w:rsidRDefault="00110690" w:rsidP="00110690">
      <w:pPr>
        <w:pStyle w:val="Default"/>
        <w:ind w:firstLine="360"/>
        <w:jc w:val="both"/>
        <w:rPr>
          <w:rFonts w:ascii="Arial" w:hAnsi="Arial" w:cs="Arial"/>
          <w:color w:val="auto"/>
        </w:rPr>
      </w:pPr>
      <w:r w:rsidRPr="00EA37C1">
        <w:rPr>
          <w:rFonts w:ascii="Arial" w:hAnsi="Arial" w:cs="Arial"/>
          <w:color w:val="auto"/>
        </w:rPr>
        <w:t xml:space="preserve">MERSİS No:  </w:t>
      </w:r>
    </w:p>
    <w:p w14:paraId="7061C804" w14:textId="3843407F" w:rsidR="00110690" w:rsidRPr="00EA37C1" w:rsidRDefault="00110690" w:rsidP="00110690">
      <w:pPr>
        <w:pStyle w:val="Default"/>
        <w:ind w:firstLine="360"/>
        <w:jc w:val="both"/>
        <w:rPr>
          <w:rFonts w:ascii="Arial" w:hAnsi="Arial" w:cs="Arial"/>
          <w:color w:val="auto"/>
        </w:rPr>
      </w:pPr>
      <w:r w:rsidRPr="00EA37C1">
        <w:rPr>
          <w:rFonts w:ascii="Arial" w:hAnsi="Arial" w:cs="Arial"/>
          <w:color w:val="auto"/>
        </w:rPr>
        <w:t xml:space="preserve">Adresi:  </w:t>
      </w:r>
    </w:p>
    <w:p w14:paraId="72433417" w14:textId="070E1B3C" w:rsidR="00110690" w:rsidRPr="00EA37C1" w:rsidRDefault="00110690" w:rsidP="00110690">
      <w:pPr>
        <w:pStyle w:val="Default"/>
        <w:ind w:firstLine="360"/>
        <w:jc w:val="both"/>
        <w:rPr>
          <w:rFonts w:ascii="Arial" w:hAnsi="Arial" w:cs="Arial"/>
          <w:color w:val="auto"/>
        </w:rPr>
      </w:pPr>
      <w:r w:rsidRPr="00EA37C1">
        <w:rPr>
          <w:rFonts w:ascii="Arial" w:hAnsi="Arial" w:cs="Arial"/>
          <w:color w:val="auto"/>
        </w:rPr>
        <w:t>E-posta Adresi:</w:t>
      </w:r>
      <w:r w:rsidR="0048295D">
        <w:rPr>
          <w:rFonts w:ascii="Arial" w:hAnsi="Arial" w:cs="Arial"/>
          <w:color w:val="auto"/>
        </w:rPr>
        <w:t xml:space="preserve"> </w:t>
      </w:r>
    </w:p>
    <w:p w14:paraId="17325344" w14:textId="43379122" w:rsidR="00110690" w:rsidRPr="00EA37C1" w:rsidRDefault="00110690" w:rsidP="00110690">
      <w:pPr>
        <w:pStyle w:val="Default"/>
        <w:ind w:firstLine="360"/>
        <w:jc w:val="both"/>
        <w:rPr>
          <w:rFonts w:ascii="Arial" w:hAnsi="Arial" w:cs="Arial"/>
          <w:color w:val="auto"/>
        </w:rPr>
      </w:pPr>
      <w:r w:rsidRPr="00EA37C1">
        <w:rPr>
          <w:rFonts w:ascii="Arial" w:hAnsi="Arial" w:cs="Arial"/>
          <w:color w:val="auto"/>
        </w:rPr>
        <w:t xml:space="preserve">Tel:  </w:t>
      </w:r>
    </w:p>
    <w:bookmarkEnd w:id="0"/>
    <w:p w14:paraId="00B10364" w14:textId="77777777" w:rsidR="00110690" w:rsidRPr="00EA37C1" w:rsidRDefault="00110690" w:rsidP="00110690">
      <w:pPr>
        <w:pStyle w:val="Default"/>
        <w:jc w:val="both"/>
        <w:rPr>
          <w:rFonts w:ascii="Arial" w:hAnsi="Arial" w:cs="Arial"/>
          <w:color w:val="auto"/>
        </w:rPr>
      </w:pPr>
    </w:p>
    <w:p w14:paraId="21DBC2D6" w14:textId="77777777" w:rsidR="00110690" w:rsidRPr="00EA37C1" w:rsidRDefault="00110690" w:rsidP="00110690">
      <w:pPr>
        <w:pStyle w:val="Default"/>
        <w:numPr>
          <w:ilvl w:val="0"/>
          <w:numId w:val="22"/>
        </w:numPr>
        <w:ind w:left="0"/>
        <w:jc w:val="both"/>
        <w:rPr>
          <w:rFonts w:ascii="Arial" w:hAnsi="Arial" w:cs="Arial"/>
          <w:b/>
          <w:bCs/>
          <w:color w:val="auto"/>
        </w:rPr>
      </w:pPr>
      <w:r w:rsidRPr="00EA37C1">
        <w:rPr>
          <w:rFonts w:ascii="Arial" w:hAnsi="Arial" w:cs="Arial"/>
          <w:b/>
          <w:bCs/>
          <w:color w:val="auto"/>
        </w:rPr>
        <w:t>TANIMLAR</w:t>
      </w:r>
    </w:p>
    <w:p w14:paraId="06CE455E" w14:textId="77777777" w:rsidR="00110690" w:rsidRPr="00EA37C1" w:rsidRDefault="00110690" w:rsidP="00110690">
      <w:pPr>
        <w:pStyle w:val="Default"/>
        <w:jc w:val="both"/>
        <w:rPr>
          <w:rFonts w:ascii="Arial" w:hAnsi="Arial" w:cs="Arial"/>
          <w:color w:val="auto"/>
          <w:kern w:val="2"/>
        </w:rPr>
      </w:pPr>
      <w:r w:rsidRPr="00EA37C1">
        <w:rPr>
          <w:rFonts w:ascii="Arial" w:hAnsi="Arial" w:cs="Arial"/>
          <w:b/>
          <w:bCs/>
          <w:color w:val="auto"/>
          <w:kern w:val="2"/>
        </w:rPr>
        <w:t>Sigorta Şirketi/Sigortacı :</w:t>
      </w:r>
      <w:r w:rsidRPr="00EA37C1">
        <w:rPr>
          <w:rFonts w:ascii="Arial" w:hAnsi="Arial" w:cs="Arial"/>
          <w:color w:val="auto"/>
          <w:kern w:val="2"/>
        </w:rPr>
        <w:t xml:space="preserve"> Zurich Yaşam ve Emeklilik A.Ş.</w:t>
      </w:r>
    </w:p>
    <w:p w14:paraId="3247D9EA" w14:textId="45C79201" w:rsidR="00110690" w:rsidRPr="00EA37C1" w:rsidRDefault="00110690" w:rsidP="00110690">
      <w:pPr>
        <w:pStyle w:val="Default"/>
        <w:jc w:val="both"/>
        <w:rPr>
          <w:rFonts w:ascii="Arial" w:hAnsi="Arial" w:cs="Arial"/>
          <w:color w:val="auto"/>
          <w:kern w:val="2"/>
        </w:rPr>
      </w:pPr>
      <w:r w:rsidRPr="00EA37C1">
        <w:rPr>
          <w:rFonts w:ascii="Arial" w:hAnsi="Arial" w:cs="Arial"/>
          <w:b/>
          <w:bCs/>
          <w:color w:val="auto"/>
          <w:kern w:val="2"/>
        </w:rPr>
        <w:t>Dain-i Mürtehin/Banka :</w:t>
      </w:r>
      <w:r w:rsidRPr="00EA37C1">
        <w:rPr>
          <w:rFonts w:ascii="Arial" w:hAnsi="Arial" w:cs="Arial"/>
          <w:color w:val="auto"/>
          <w:kern w:val="2"/>
        </w:rPr>
        <w:t xml:space="preserve"> </w:t>
      </w:r>
    </w:p>
    <w:p w14:paraId="097FAF07" w14:textId="77777777" w:rsidR="00110690" w:rsidRPr="00EA37C1" w:rsidRDefault="00110690" w:rsidP="00110690">
      <w:pPr>
        <w:pStyle w:val="Default"/>
        <w:jc w:val="both"/>
        <w:rPr>
          <w:rFonts w:ascii="Arial" w:hAnsi="Arial" w:cs="Arial"/>
          <w:color w:val="auto"/>
          <w:kern w:val="2"/>
        </w:rPr>
      </w:pPr>
      <w:r w:rsidRPr="00EA37C1">
        <w:rPr>
          <w:rFonts w:ascii="Arial" w:hAnsi="Arial" w:cs="Arial"/>
          <w:b/>
          <w:bCs/>
          <w:color w:val="auto"/>
          <w:kern w:val="2"/>
        </w:rPr>
        <w:t>Sigortalı :</w:t>
      </w:r>
      <w:r w:rsidRPr="00EA37C1">
        <w:rPr>
          <w:rFonts w:ascii="Arial" w:hAnsi="Arial" w:cs="Arial"/>
          <w:color w:val="auto"/>
          <w:kern w:val="2"/>
        </w:rPr>
        <w:t xml:space="preserve"> Banka’dan taşıt, ihtiyaç ya da konut kredisi alan, bu kapsamda borçlu sıfatını edinen ve Sigortacı ile Banka arasındaki Kredili Grup Hayat Sigortası çerçevesinde sigorta teminatını alan Türkiye Cumhuriyeti Kimlik Numarası’na sahip gerçek kişiyi ifade etmektedir.</w:t>
      </w:r>
    </w:p>
    <w:p w14:paraId="026A668B" w14:textId="77777777" w:rsidR="00110690" w:rsidRPr="00EA37C1" w:rsidRDefault="00110690" w:rsidP="00110690">
      <w:pPr>
        <w:pStyle w:val="Default"/>
        <w:jc w:val="both"/>
        <w:rPr>
          <w:rFonts w:ascii="Arial" w:hAnsi="Arial" w:cs="Arial"/>
          <w:color w:val="auto"/>
          <w:kern w:val="2"/>
        </w:rPr>
      </w:pPr>
      <w:r w:rsidRPr="00EA37C1">
        <w:rPr>
          <w:rFonts w:ascii="Arial" w:hAnsi="Arial" w:cs="Arial"/>
          <w:b/>
          <w:bCs/>
          <w:color w:val="auto"/>
          <w:kern w:val="2"/>
        </w:rPr>
        <w:t>Kredili Grup Hayat Sigortası Poliçesi ya da Poliçe :</w:t>
      </w:r>
      <w:r w:rsidRPr="00EA37C1">
        <w:rPr>
          <w:rFonts w:ascii="Arial" w:hAnsi="Arial" w:cs="Arial"/>
          <w:color w:val="auto"/>
          <w:kern w:val="2"/>
        </w:rPr>
        <w:t xml:space="preserve"> İşbu Özel Şartlar kapsamında sağlanan teminatları, sigorta şartlarını ve Sigorta’ya taraf olan kişileri açıklayan belgedir. </w:t>
      </w:r>
    </w:p>
    <w:p w14:paraId="46EC86CC" w14:textId="51CFA6F0" w:rsidR="00110690" w:rsidRPr="00EA37C1" w:rsidRDefault="00110690" w:rsidP="00110690">
      <w:pPr>
        <w:pStyle w:val="Default"/>
        <w:jc w:val="both"/>
        <w:rPr>
          <w:rFonts w:ascii="Arial" w:hAnsi="Arial" w:cs="Arial"/>
          <w:color w:val="auto"/>
          <w:kern w:val="2"/>
        </w:rPr>
      </w:pPr>
      <w:r w:rsidRPr="00EA37C1">
        <w:rPr>
          <w:rFonts w:ascii="Arial" w:hAnsi="Arial" w:cs="Arial"/>
          <w:b/>
          <w:bCs/>
          <w:color w:val="auto"/>
          <w:kern w:val="2"/>
        </w:rPr>
        <w:t xml:space="preserve">Lehtar : </w:t>
      </w:r>
      <w:r w:rsidRPr="00EA37C1">
        <w:rPr>
          <w:rFonts w:ascii="Arial" w:hAnsi="Arial" w:cs="Arial"/>
          <w:color w:val="auto"/>
          <w:kern w:val="2"/>
        </w:rPr>
        <w:t xml:space="preserve">Sigortalı’dan olan kredi alacağı oranında öncelikli olarak Dain-i Mürtehin </w:t>
      </w:r>
      <w:r w:rsidR="00245FD8">
        <w:rPr>
          <w:rFonts w:ascii="Arial" w:hAnsi="Arial" w:cs="Arial"/>
          <w:color w:val="auto"/>
          <w:kern w:val="2"/>
        </w:rPr>
        <w:t>banka</w:t>
      </w:r>
      <w:r w:rsidRPr="00EA37C1">
        <w:rPr>
          <w:rFonts w:ascii="Arial" w:hAnsi="Arial" w:cs="Arial"/>
          <w:color w:val="auto"/>
          <w:kern w:val="2"/>
        </w:rPr>
        <w:t xml:space="preserve">; eğer varsa kredi alacağını aşan tutarlar için Vefat Teminatı bakımından Sigortalı’nın Kanuni Varisleri’ni ifade etmektedir. Sigortalı’nın Lehtar belirleme hakkı yalnızca Sigorta Bedeli’nin riziko anında mevcut olan kredi borcunu aşan kısmı için vardır. Bu kapsamda Sigortalı Lehtar’ı dilediği zaman, yapacağı yazılı bildirim ile değiştirebilir. Kredi alacağı oranında Lehtar belirleme hakkı rehin alacaklısı (Dain-i Mürtehin) olan sigorta Ettiren </w:t>
      </w:r>
      <w:r w:rsidR="00245FD8">
        <w:rPr>
          <w:rFonts w:ascii="Arial" w:hAnsi="Arial" w:cs="Arial"/>
          <w:color w:val="auto"/>
          <w:kern w:val="2"/>
        </w:rPr>
        <w:t>banka’ya</w:t>
      </w:r>
      <w:r w:rsidRPr="00EA37C1">
        <w:rPr>
          <w:rFonts w:ascii="Arial" w:hAnsi="Arial" w:cs="Arial"/>
          <w:color w:val="auto"/>
          <w:kern w:val="2"/>
        </w:rPr>
        <w:t xml:space="preserve"> aittir ve bizzat kendini Lehtar olarak belirlemiştir.</w:t>
      </w:r>
    </w:p>
    <w:p w14:paraId="7AFC2D51" w14:textId="77777777" w:rsidR="00110690" w:rsidRPr="00EA37C1" w:rsidRDefault="00110690" w:rsidP="00110690">
      <w:pPr>
        <w:pStyle w:val="Default"/>
        <w:jc w:val="both"/>
        <w:rPr>
          <w:rFonts w:ascii="Arial" w:hAnsi="Arial" w:cs="Arial"/>
          <w:color w:val="auto"/>
        </w:rPr>
      </w:pPr>
    </w:p>
    <w:p w14:paraId="3763767C" w14:textId="77777777" w:rsidR="00110690" w:rsidRPr="00EA37C1" w:rsidRDefault="00110690" w:rsidP="00110690">
      <w:pPr>
        <w:pStyle w:val="Default"/>
        <w:jc w:val="both"/>
        <w:rPr>
          <w:rFonts w:ascii="Arial" w:hAnsi="Arial" w:cs="Arial"/>
          <w:b/>
          <w:bCs/>
          <w:color w:val="auto"/>
        </w:rPr>
      </w:pPr>
    </w:p>
    <w:p w14:paraId="7DC548D6" w14:textId="77777777" w:rsidR="00110690" w:rsidRPr="00EA37C1" w:rsidRDefault="00110690" w:rsidP="00110690">
      <w:pPr>
        <w:pStyle w:val="Default"/>
        <w:numPr>
          <w:ilvl w:val="0"/>
          <w:numId w:val="22"/>
        </w:numPr>
        <w:ind w:left="0"/>
        <w:jc w:val="both"/>
        <w:rPr>
          <w:rFonts w:ascii="Arial" w:hAnsi="Arial" w:cs="Arial"/>
          <w:b/>
          <w:bCs/>
          <w:color w:val="auto"/>
        </w:rPr>
      </w:pPr>
      <w:r w:rsidRPr="00EA37C1">
        <w:rPr>
          <w:rFonts w:ascii="Arial" w:hAnsi="Arial" w:cs="Arial"/>
          <w:b/>
          <w:bCs/>
          <w:color w:val="auto"/>
        </w:rPr>
        <w:t>TEMİNATLAR</w:t>
      </w:r>
    </w:p>
    <w:p w14:paraId="14883920" w14:textId="77777777" w:rsidR="00110690" w:rsidRPr="00EA37C1" w:rsidRDefault="00110690" w:rsidP="00110690">
      <w:pPr>
        <w:pStyle w:val="Default"/>
        <w:jc w:val="both"/>
        <w:rPr>
          <w:rFonts w:ascii="Arial" w:hAnsi="Arial" w:cs="Arial"/>
          <w:color w:val="auto"/>
        </w:rPr>
      </w:pPr>
      <w:r w:rsidRPr="00EA37C1">
        <w:rPr>
          <w:rFonts w:ascii="Arial" w:hAnsi="Arial" w:cs="Arial"/>
          <w:color w:val="auto"/>
        </w:rPr>
        <w:t>İşbu poliçede verilen teminatlar, 6 numaralı “Sigortaya İlişkin Genel Bilgiler” maddesinde detaylı olarak açıklanmaktadır.  Vefat Teminatı ile Depremli Kaza Sonucu  Tam ve Daimi Maluliyet Teminatı sözleşmenin her ayı için ayrıca hesaplanır.  Vefat Teminatı ve Depremli Kaza Sonucu  Tam ve Daimi Maluliyet Teminatı  için riskin gerçekleştiği tarihte geçerli olan tazminat tutarı ödenir</w:t>
      </w:r>
    </w:p>
    <w:p w14:paraId="49042C02" w14:textId="26F33D0B" w:rsidR="00110690" w:rsidRPr="00EA37C1" w:rsidRDefault="00110690" w:rsidP="00110690">
      <w:pPr>
        <w:pStyle w:val="Default"/>
        <w:jc w:val="both"/>
        <w:rPr>
          <w:rFonts w:ascii="Arial" w:hAnsi="Arial" w:cs="Arial"/>
          <w:color w:val="auto"/>
        </w:rPr>
      </w:pPr>
      <w:r w:rsidRPr="00EA37C1">
        <w:rPr>
          <w:rFonts w:ascii="Arial" w:hAnsi="Arial" w:cs="Arial"/>
          <w:color w:val="auto"/>
        </w:rPr>
        <w:t>Kredili Grup Hayat Sigortası’nda Vefat Teminatı</w:t>
      </w:r>
      <w:r w:rsidR="00245FD8">
        <w:rPr>
          <w:rFonts w:ascii="Arial" w:hAnsi="Arial" w:cs="Arial"/>
          <w:color w:val="auto"/>
        </w:rPr>
        <w:t xml:space="preserve"> ve </w:t>
      </w:r>
      <w:r w:rsidRPr="00EA37C1">
        <w:rPr>
          <w:rFonts w:ascii="Arial" w:hAnsi="Arial" w:cs="Arial"/>
          <w:color w:val="auto"/>
        </w:rPr>
        <w:t xml:space="preserve">Depremli Kaza Sonucu Tam ve Daimi Maluliyet </w:t>
      </w:r>
      <w:r w:rsidR="00245FD8">
        <w:rPr>
          <w:rFonts w:ascii="Arial" w:hAnsi="Arial" w:cs="Arial"/>
          <w:color w:val="auto"/>
        </w:rPr>
        <w:t>Teminatı</w:t>
      </w:r>
      <w:r w:rsidRPr="00EA37C1">
        <w:rPr>
          <w:rFonts w:ascii="Arial" w:hAnsi="Arial" w:cs="Arial"/>
          <w:color w:val="auto"/>
        </w:rPr>
        <w:t xml:space="preserve"> için herhangi bir istisna süresi uygulanmamaktadır. </w:t>
      </w:r>
    </w:p>
    <w:p w14:paraId="40192916" w14:textId="77777777" w:rsidR="00110690" w:rsidRPr="00EA37C1" w:rsidRDefault="00110690" w:rsidP="00110690">
      <w:pPr>
        <w:pStyle w:val="Default"/>
        <w:jc w:val="both"/>
        <w:rPr>
          <w:rFonts w:ascii="Arial" w:hAnsi="Arial" w:cs="Arial"/>
          <w:color w:val="auto"/>
        </w:rPr>
      </w:pPr>
    </w:p>
    <w:p w14:paraId="2049FB19" w14:textId="77777777" w:rsidR="00110690" w:rsidRPr="00EA37C1" w:rsidRDefault="00110690" w:rsidP="00110690">
      <w:pPr>
        <w:pStyle w:val="Default"/>
        <w:numPr>
          <w:ilvl w:val="0"/>
          <w:numId w:val="22"/>
        </w:numPr>
        <w:ind w:left="0"/>
        <w:jc w:val="both"/>
        <w:rPr>
          <w:rFonts w:ascii="Arial" w:hAnsi="Arial" w:cs="Arial"/>
          <w:b/>
          <w:bCs/>
          <w:color w:val="auto"/>
        </w:rPr>
      </w:pPr>
      <w:r w:rsidRPr="00EA37C1">
        <w:rPr>
          <w:rFonts w:ascii="Arial" w:hAnsi="Arial" w:cs="Arial"/>
          <w:b/>
          <w:bCs/>
          <w:color w:val="auto"/>
        </w:rPr>
        <w:t>GENEL KOŞULLAR</w:t>
      </w:r>
    </w:p>
    <w:p w14:paraId="5132BA35" w14:textId="77777777" w:rsidR="00110690" w:rsidRPr="00EA37C1" w:rsidRDefault="00110690" w:rsidP="00110690">
      <w:pPr>
        <w:pStyle w:val="Default"/>
        <w:numPr>
          <w:ilvl w:val="1"/>
          <w:numId w:val="22"/>
        </w:numPr>
        <w:ind w:left="0"/>
        <w:jc w:val="both"/>
        <w:rPr>
          <w:rFonts w:ascii="Arial" w:hAnsi="Arial" w:cs="Arial"/>
          <w:color w:val="auto"/>
        </w:rPr>
      </w:pPr>
      <w:r w:rsidRPr="00EA37C1">
        <w:rPr>
          <w:rFonts w:ascii="Arial" w:hAnsi="Arial" w:cs="Arial"/>
          <w:color w:val="auto"/>
        </w:rPr>
        <w:t xml:space="preserve">Bu sigortayı başka bir sigorta şirketi veya sigorta aracısı yoluyla yaptırmak istediğiniz takdirde, istenen teminatlar ile süre şartlarını sağlayan ve “Dain-i Mürtehin”i kredi kuruluşu olacak şekilde düzenlenen poliçeyi mevcut Poliçe’nizin başlangıç tarihinden itibaren otuz </w:t>
      </w:r>
    </w:p>
    <w:p w14:paraId="221E7213" w14:textId="77777777" w:rsidR="00110690" w:rsidRPr="00EA37C1" w:rsidRDefault="00110690" w:rsidP="00110690">
      <w:pPr>
        <w:pStyle w:val="Default"/>
        <w:jc w:val="both"/>
        <w:rPr>
          <w:rFonts w:ascii="Arial" w:hAnsi="Arial" w:cs="Arial"/>
          <w:color w:val="auto"/>
        </w:rPr>
      </w:pPr>
      <w:r w:rsidRPr="00EA37C1">
        <w:rPr>
          <w:rFonts w:ascii="Arial" w:hAnsi="Arial" w:cs="Arial"/>
          <w:color w:val="auto"/>
        </w:rPr>
        <w:t>gün içinde kredi kuruluşuna ibraz etmeniz gerekmektedir. Bu durumda kredi kuruluşu tarafından düzenlenen Poliçe başlangıç tarihinden itibaren iptal edilerek ödenen primler ibraz tarihinden itibaren beş iş günü içinde kesintisiz olarak hesabınıza iade edilecektir. 6102 sayılı Türk Ticaret Kanunu’nun ilgili maddeleri ve zorunlu sigortaların sonlandırılmasına ilişkin hükümler saklıdır.</w:t>
      </w:r>
    </w:p>
    <w:p w14:paraId="050B0F2F" w14:textId="77777777" w:rsidR="00110690" w:rsidRPr="00EA37C1" w:rsidRDefault="00110690" w:rsidP="00110690">
      <w:pPr>
        <w:pStyle w:val="Default"/>
        <w:numPr>
          <w:ilvl w:val="1"/>
          <w:numId w:val="22"/>
        </w:numPr>
        <w:ind w:left="0"/>
        <w:jc w:val="both"/>
        <w:rPr>
          <w:rFonts w:ascii="Arial" w:hAnsi="Arial" w:cs="Arial"/>
          <w:color w:val="auto"/>
        </w:rPr>
      </w:pPr>
      <w:r w:rsidRPr="00EA37C1">
        <w:rPr>
          <w:rFonts w:ascii="Arial" w:hAnsi="Arial" w:cs="Arial"/>
          <w:color w:val="auto"/>
        </w:rPr>
        <w:t>Aynı koşulların sağlanması kaydıyla otuz günlük sürenin geçmesinden sonra yapılacak iptal taleplerinde yıllık poliçelerde gün esası, uzun süreli poliçelerde ise ayrılma (iştira) değeri ödenir. 13/01/2011 tarih ve 6102 sayılı Türk Ticaret Kanunu’nun ilgili maddeleri ve zorunlu sigortaların sonlandırılmasına ilişkin hükümler saklıdır.</w:t>
      </w:r>
    </w:p>
    <w:p w14:paraId="14522E1B" w14:textId="77777777" w:rsidR="00110690" w:rsidRPr="00EA37C1" w:rsidRDefault="00110690" w:rsidP="00110690">
      <w:pPr>
        <w:pStyle w:val="Default"/>
        <w:numPr>
          <w:ilvl w:val="1"/>
          <w:numId w:val="22"/>
        </w:numPr>
        <w:ind w:left="0"/>
        <w:jc w:val="both"/>
        <w:rPr>
          <w:rFonts w:ascii="Arial" w:hAnsi="Arial" w:cs="Arial"/>
          <w:color w:val="auto"/>
        </w:rPr>
      </w:pPr>
      <w:r w:rsidRPr="00EA37C1">
        <w:rPr>
          <w:rFonts w:ascii="Arial" w:hAnsi="Arial" w:cs="Arial"/>
          <w:color w:val="auto"/>
        </w:rPr>
        <w:t>Sigortalı’ya ait paylaşılan iletişim bilgilerinde değişiklik olması halinde bu değişikliklerin sigortacı/acente/kredi kuruluşuna bildirilmesi gerekmektedir. Aksi durumda sigortacı/acente/kredi kuruluşu, en son güncellenen iletişim bilgilerini dikkate alarak bildirim yapacaktır.</w:t>
      </w:r>
    </w:p>
    <w:p w14:paraId="617E869C" w14:textId="130C69AE" w:rsidR="00110690" w:rsidRPr="00136446" w:rsidRDefault="00110690" w:rsidP="00490DFE">
      <w:pPr>
        <w:pStyle w:val="Default"/>
        <w:numPr>
          <w:ilvl w:val="1"/>
          <w:numId w:val="22"/>
        </w:numPr>
        <w:ind w:left="0"/>
        <w:jc w:val="both"/>
        <w:rPr>
          <w:rFonts w:ascii="Arial" w:hAnsi="Arial" w:cs="Arial"/>
          <w:b/>
          <w:bCs/>
          <w:color w:val="E97132" w:themeColor="accent2"/>
        </w:rPr>
      </w:pPr>
      <w:r w:rsidRPr="00136446">
        <w:rPr>
          <w:rFonts w:ascii="Arial" w:hAnsi="Arial" w:cs="Arial"/>
          <w:color w:val="auto"/>
        </w:rPr>
        <w:t xml:space="preserve">Sigorta kapsamına girecek veya giren kişiler, ilgili belgeleri onaylamakla risk değerlendirmesi yapılabilmesi ve tazminat başvurularının sonuçlandırılabilmesi amacıyla sağlık bilgilerinin, sigortalılık kayıtlarının ve diğer bilgilerin Sigorta Bilgi ve Gözetim Merkezi’nden (SBGM), Sosyal Güvenlik Kurumu’undan, Sağlık Bakanlığı’ndan, sağlık kurum ve kuruluşlarından ve sigorta şirketlerinden edinilmesine ve şirket nezdindeki bahse konu bilgi ve kayıtların SBGM, sigorta şirketleri ve ilgili mevzuatta yetkilendirilen merciler ile paylaşılmasına rıza göstermiş sayılır. 13/01/2011 tarih ve 6102 </w:t>
      </w:r>
      <w:r w:rsidRPr="00136446">
        <w:rPr>
          <w:rFonts w:ascii="Arial" w:hAnsi="Arial" w:cs="Arial"/>
          <w:color w:val="auto"/>
        </w:rPr>
        <w:lastRenderedPageBreak/>
        <w:t>sayılı Türk Ticaret Kanunu’nun ilgili maddeleri ve zorunlu sigortaların sonlandırılmasına ilişkin hükümler saklıdır.</w:t>
      </w:r>
    </w:p>
    <w:p w14:paraId="4DFEF207" w14:textId="77777777" w:rsidR="00110690" w:rsidRDefault="00110690" w:rsidP="00110690">
      <w:pPr>
        <w:pStyle w:val="Default"/>
        <w:numPr>
          <w:ilvl w:val="1"/>
          <w:numId w:val="22"/>
        </w:numPr>
        <w:ind w:left="0"/>
        <w:jc w:val="both"/>
        <w:rPr>
          <w:rFonts w:ascii="Arial" w:hAnsi="Arial" w:cs="Arial"/>
          <w:color w:val="auto"/>
        </w:rPr>
      </w:pPr>
      <w:r w:rsidRPr="00EA37C1">
        <w:rPr>
          <w:rFonts w:ascii="Arial" w:hAnsi="Arial" w:cs="Arial"/>
          <w:color w:val="auto"/>
        </w:rPr>
        <w:t>Sigortacının işbu ürün kapsamında yenileme taahhüdü bulunmamaktadır.</w:t>
      </w:r>
    </w:p>
    <w:p w14:paraId="3217CBC1" w14:textId="55F06CE6" w:rsidR="00136446" w:rsidRPr="00EA37C1" w:rsidRDefault="00136446" w:rsidP="00110690">
      <w:pPr>
        <w:pStyle w:val="Default"/>
        <w:numPr>
          <w:ilvl w:val="1"/>
          <w:numId w:val="22"/>
        </w:numPr>
        <w:ind w:left="0"/>
        <w:jc w:val="both"/>
        <w:rPr>
          <w:rFonts w:ascii="Arial" w:hAnsi="Arial" w:cs="Arial"/>
          <w:color w:val="auto"/>
        </w:rPr>
      </w:pPr>
      <w:r w:rsidRPr="000514EC">
        <w:rPr>
          <w:rFonts w:ascii="Arial" w:hAnsi="Arial" w:cs="Arial"/>
          <w:color w:val="auto"/>
        </w:rPr>
        <w:t>Kredi borcunun belirlenen vadeden önce geri ödenmesi veya kredi borç yapısında değişiklik olması durumlarında sigorta sözleşmesi sonlandırılır. Ancak onay vermeniz durumunda poliçe mevcut koşullarıyla devam ettirilebilir veya kredi borç yapısında gerçekleştirilen değişikliğe göre mevcut sigorta poliçesi teminat tutarları ve sigorta süresi yeniden düzenlenebilir.</w:t>
      </w:r>
    </w:p>
    <w:p w14:paraId="4897CAD6" w14:textId="77777777" w:rsidR="00110690" w:rsidRPr="00EA37C1" w:rsidRDefault="00110690" w:rsidP="00110690">
      <w:pPr>
        <w:pStyle w:val="Default"/>
        <w:jc w:val="both"/>
        <w:rPr>
          <w:rFonts w:ascii="Arial" w:hAnsi="Arial" w:cs="Arial"/>
          <w:color w:val="auto"/>
        </w:rPr>
      </w:pPr>
    </w:p>
    <w:p w14:paraId="40A7AE83" w14:textId="77777777" w:rsidR="00110690" w:rsidRPr="00EA37C1" w:rsidRDefault="00110690" w:rsidP="00110690">
      <w:pPr>
        <w:pStyle w:val="Default"/>
        <w:numPr>
          <w:ilvl w:val="0"/>
          <w:numId w:val="22"/>
        </w:numPr>
        <w:ind w:left="0"/>
        <w:jc w:val="both"/>
        <w:rPr>
          <w:rFonts w:ascii="Arial" w:hAnsi="Arial" w:cs="Arial"/>
          <w:b/>
          <w:bCs/>
          <w:color w:val="auto"/>
        </w:rPr>
      </w:pPr>
      <w:r w:rsidRPr="00EA37C1">
        <w:rPr>
          <w:rFonts w:ascii="Arial" w:hAnsi="Arial" w:cs="Arial"/>
          <w:b/>
          <w:bCs/>
          <w:color w:val="auto"/>
        </w:rPr>
        <w:t>SİGORTAYA İLİŞKİN GENEL BİLGİLER</w:t>
      </w:r>
    </w:p>
    <w:p w14:paraId="7BDEB279" w14:textId="77777777" w:rsidR="00110690" w:rsidRPr="00EA37C1" w:rsidRDefault="00110690" w:rsidP="00110690">
      <w:pPr>
        <w:pStyle w:val="Default"/>
        <w:numPr>
          <w:ilvl w:val="1"/>
          <w:numId w:val="22"/>
        </w:numPr>
        <w:ind w:left="0"/>
        <w:jc w:val="both"/>
        <w:rPr>
          <w:rFonts w:ascii="Arial" w:hAnsi="Arial" w:cs="Arial"/>
          <w:b/>
          <w:bCs/>
          <w:color w:val="auto"/>
        </w:rPr>
      </w:pPr>
      <w:r w:rsidRPr="00EA37C1">
        <w:rPr>
          <w:rFonts w:ascii="Arial" w:hAnsi="Arial" w:cs="Arial"/>
          <w:b/>
          <w:bCs/>
          <w:color w:val="auto"/>
        </w:rPr>
        <w:t>TEMİNATLAR</w:t>
      </w:r>
    </w:p>
    <w:p w14:paraId="2971D8D3" w14:textId="77777777" w:rsidR="00110690" w:rsidRPr="00EA37C1" w:rsidRDefault="00110690" w:rsidP="00110690">
      <w:pPr>
        <w:pStyle w:val="Default"/>
        <w:jc w:val="both"/>
        <w:rPr>
          <w:rFonts w:ascii="Arial" w:hAnsi="Arial" w:cs="Arial"/>
          <w:b/>
          <w:bCs/>
          <w:color w:val="auto"/>
        </w:rPr>
      </w:pPr>
      <w:r w:rsidRPr="00EA37C1">
        <w:rPr>
          <w:rFonts w:ascii="Arial" w:hAnsi="Arial" w:cs="Arial"/>
          <w:b/>
          <w:bCs/>
          <w:color w:val="auto"/>
        </w:rPr>
        <w:t>6.1.1.ANA TEMİNATLAR</w:t>
      </w:r>
    </w:p>
    <w:p w14:paraId="0F97DCB7" w14:textId="77777777" w:rsidR="00110690" w:rsidRPr="00EA37C1" w:rsidRDefault="00110690" w:rsidP="00110690">
      <w:pPr>
        <w:pStyle w:val="Default"/>
        <w:jc w:val="both"/>
        <w:rPr>
          <w:rFonts w:ascii="Arial" w:hAnsi="Arial" w:cs="Arial"/>
          <w:color w:val="auto"/>
          <w:kern w:val="2"/>
        </w:rPr>
      </w:pPr>
      <w:r w:rsidRPr="00EA37C1">
        <w:rPr>
          <w:rFonts w:ascii="Arial" w:hAnsi="Arial" w:cs="Arial"/>
          <w:b/>
          <w:bCs/>
          <w:color w:val="auto"/>
          <w:kern w:val="2"/>
        </w:rPr>
        <w:t xml:space="preserve">Vefat Teminatı : </w:t>
      </w:r>
      <w:r w:rsidRPr="00EA37C1">
        <w:rPr>
          <w:rFonts w:ascii="Arial" w:hAnsi="Arial" w:cs="Arial"/>
          <w:color w:val="auto"/>
          <w:kern w:val="2"/>
        </w:rPr>
        <w:t xml:space="preserve">Bu teminat tüm Sigortalı’lar için geçerli olup, Sigortalı’nın sigorta süresi içinde veya işbu Özel Şartlar dahilinde belirlenmiş şart ve haller kapsamında Sigortalı’nın ölümü halinde, Poliçe’de yer alan teminat tutarı Hayat Sigortaları Genel Şartları kapsamında Dain-i Mürtehin’in hakları saklı kalmak üzere Sigortalı’nın Kanuni Varisleri’ne yahut lehtarlarına ödenir. </w:t>
      </w:r>
    </w:p>
    <w:p w14:paraId="4FFB0596" w14:textId="77777777" w:rsidR="00110690" w:rsidRPr="00EA37C1" w:rsidRDefault="00110690" w:rsidP="00110690">
      <w:pPr>
        <w:pStyle w:val="Default"/>
        <w:jc w:val="both"/>
        <w:rPr>
          <w:rFonts w:ascii="Arial" w:hAnsi="Arial" w:cs="Arial"/>
          <w:color w:val="auto"/>
          <w:kern w:val="2"/>
        </w:rPr>
      </w:pPr>
    </w:p>
    <w:p w14:paraId="6C1232AB" w14:textId="77777777" w:rsidR="00110690" w:rsidRPr="00EA37C1" w:rsidRDefault="00110690" w:rsidP="00110690">
      <w:pPr>
        <w:autoSpaceDE w:val="0"/>
        <w:autoSpaceDN w:val="0"/>
        <w:adjustRightInd w:val="0"/>
        <w:spacing w:after="0" w:line="240" w:lineRule="auto"/>
        <w:jc w:val="both"/>
        <w:rPr>
          <w:rFonts w:ascii="Arial" w:hAnsi="Arial" w:cs="Arial"/>
        </w:rPr>
      </w:pPr>
      <w:r w:rsidRPr="00EA37C1">
        <w:rPr>
          <w:rFonts w:ascii="Arial" w:hAnsi="Arial" w:cs="Arial"/>
          <w:b/>
          <w:bCs/>
        </w:rPr>
        <w:t>Depremli Kaza Sonucu Tam ve Daimi Maluliyet Teminatı</w:t>
      </w:r>
      <w:r w:rsidRPr="00EA37C1">
        <w:rPr>
          <w:rFonts w:ascii="Arial" w:hAnsi="Arial" w:cs="Arial"/>
        </w:rPr>
        <w:t xml:space="preserve"> : Bu teminat tüm Sigortalı’lar için geçerlidir. İşbu ek teminatın konusu, sigorta süresi içinde ani, harici ve Sigortalı’nın iradesi dışında gerçekleşen bir Deprem dahil kaza sonucu Sigortalı’ya derhal veya kaza tarihinden itibaren iki sene içinde sebebiyet verdiği daimi tam maluliyet riskine karşı Ferdi Kaza Sigortası Genel Şartları çerçevesinde, sertifika üzerinde yazılı teminat tutarı kadar teminat verilmelidir. İşbu ek teminat için olay tarihi, yukarıda tanımlanan maluliyete yol açan kaza tarihidir. Depremli kaza sonucu tam ve daimi maluliyet ek teminatı, tıbbi tedavinin sona ermesini ve daimi tam maluliyetin kesin surette tespitini takiben, Ferdi Kaza Sigortası Genel Şartları’nda yer alan %60 ve üstü oranlara karşılık gelen maluliyet hallerinde Sigortalı’ya ödenir.</w:t>
      </w:r>
    </w:p>
    <w:p w14:paraId="112EA889" w14:textId="77777777" w:rsidR="00110690" w:rsidRPr="00EA37C1" w:rsidRDefault="00110690" w:rsidP="00110690">
      <w:pPr>
        <w:pStyle w:val="Default"/>
        <w:jc w:val="both"/>
        <w:rPr>
          <w:rFonts w:ascii="Arial" w:hAnsi="Arial" w:cs="Arial"/>
          <w:b/>
          <w:bCs/>
        </w:rPr>
      </w:pPr>
      <w:r w:rsidRPr="00EA37C1">
        <w:rPr>
          <w:rFonts w:ascii="Arial" w:hAnsi="Arial" w:cs="Arial"/>
          <w:color w:val="auto"/>
          <w:kern w:val="2"/>
        </w:rPr>
        <w:t xml:space="preserve"> </w:t>
      </w:r>
    </w:p>
    <w:p w14:paraId="46043E26" w14:textId="77777777" w:rsidR="00110690" w:rsidRPr="00EA37C1" w:rsidRDefault="00110690" w:rsidP="00110690">
      <w:pPr>
        <w:pStyle w:val="Default"/>
        <w:jc w:val="both"/>
        <w:rPr>
          <w:rFonts w:ascii="Arial" w:hAnsi="Arial" w:cs="Arial"/>
          <w:b/>
          <w:bCs/>
          <w:color w:val="auto"/>
          <w:kern w:val="2"/>
        </w:rPr>
      </w:pPr>
      <w:r w:rsidRPr="00EA37C1">
        <w:rPr>
          <w:rFonts w:ascii="Arial" w:hAnsi="Arial" w:cs="Arial"/>
          <w:b/>
          <w:bCs/>
          <w:color w:val="auto"/>
          <w:kern w:val="2"/>
        </w:rPr>
        <w:t xml:space="preserve">6.2. VERGİ UYGULAMASI </w:t>
      </w:r>
    </w:p>
    <w:p w14:paraId="2BD1225B"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 xml:space="preserve">1. Ücretli olarak çalışan mükellefin ödeyeceği Kredili Grup Hayat Sigortası primi, ilgili ayda elde edilen brüt ücretin %15'ini ve yıllık olarak asgari ücretin yıllık tutarını aşmamak kaydıyla gelir vergisi matrahından indirilebilmektedir. </w:t>
      </w:r>
    </w:p>
    <w:p w14:paraId="111FBBC7"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2. Yıllık gelir vergisi beyannamesi veren mükellefin ödeyeceği Kredili Grup Hayat Sigortası primleri, (primin gelirin elde edildiği yılda ödenmiş olması ve ücret geliri elde edenlerin ücretlerinin safi tutarının hesaplanması sırasında ayrıca indirilmemiş bulunması kaydıyla), beyan edilen yıllık gelirin %15'ini ve yıllık olarak asgari ücretin yıllık tutarını aşmayacak şekilde indirilebilecektir</w:t>
      </w:r>
    </w:p>
    <w:p w14:paraId="0973760C" w14:textId="77777777" w:rsidR="00110690" w:rsidRPr="00EA37C1" w:rsidRDefault="00110690" w:rsidP="00110690">
      <w:pPr>
        <w:pStyle w:val="Default"/>
        <w:jc w:val="both"/>
        <w:rPr>
          <w:rFonts w:ascii="Arial" w:hAnsi="Arial" w:cs="Arial"/>
          <w:b/>
          <w:bCs/>
          <w:color w:val="auto"/>
        </w:rPr>
      </w:pPr>
    </w:p>
    <w:p w14:paraId="2D84590B" w14:textId="77777777" w:rsidR="00110690" w:rsidRPr="00EA37C1" w:rsidRDefault="00110690" w:rsidP="00110690">
      <w:pPr>
        <w:pStyle w:val="Default"/>
        <w:jc w:val="both"/>
        <w:rPr>
          <w:rFonts w:ascii="Arial" w:hAnsi="Arial" w:cs="Arial"/>
          <w:b/>
          <w:bCs/>
          <w:color w:val="auto"/>
        </w:rPr>
      </w:pPr>
    </w:p>
    <w:p w14:paraId="4958B4B1" w14:textId="77777777" w:rsidR="00110690" w:rsidRPr="00EA37C1" w:rsidRDefault="00110690" w:rsidP="00110690">
      <w:pPr>
        <w:pStyle w:val="Default"/>
        <w:jc w:val="both"/>
        <w:rPr>
          <w:rFonts w:ascii="Arial" w:hAnsi="Arial" w:cs="Arial"/>
          <w:color w:val="auto"/>
          <w:kern w:val="2"/>
        </w:rPr>
      </w:pPr>
      <w:r w:rsidRPr="00EA37C1">
        <w:rPr>
          <w:rFonts w:ascii="Arial" w:hAnsi="Arial" w:cs="Arial"/>
          <w:b/>
          <w:bCs/>
          <w:color w:val="auto"/>
          <w:kern w:val="2"/>
        </w:rPr>
        <w:t>6.3. GENEL BİLGİLER</w:t>
      </w:r>
      <w:r w:rsidRPr="00EA37C1">
        <w:rPr>
          <w:rFonts w:ascii="Arial" w:hAnsi="Arial" w:cs="Arial"/>
          <w:color w:val="auto"/>
          <w:kern w:val="2"/>
        </w:rPr>
        <w:t xml:space="preserve"> </w:t>
      </w:r>
    </w:p>
    <w:p w14:paraId="6B18BEE4"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 xml:space="preserve">1. </w:t>
      </w:r>
      <w:r w:rsidRPr="00EA37C1">
        <w:rPr>
          <w:rStyle w:val="ui-provider"/>
          <w:rFonts w:ascii="Arial" w:hAnsi="Arial" w:cs="Arial"/>
          <w14:ligatures w14:val="none"/>
        </w:rPr>
        <w:t xml:space="preserve">Kısa süreli ve yıllık ürünlerde 18-75 (giriş yaşı), uzun süreli ürünlerde  18-74 </w:t>
      </w:r>
      <w:r w:rsidRPr="00EA37C1">
        <w:rPr>
          <w:rFonts w:ascii="Arial" w:hAnsi="Arial" w:cs="Arial"/>
          <w14:ligatures w14:val="none"/>
        </w:rPr>
        <w:t xml:space="preserve">(giriş yaşı) yaş </w:t>
      </w:r>
      <w:r w:rsidRPr="00EA37C1">
        <w:rPr>
          <w:rFonts w:ascii="Arial" w:hAnsi="Arial" w:cs="Arial"/>
          <w:color w:val="auto"/>
          <w:kern w:val="2"/>
        </w:rPr>
        <w:t xml:space="preserve">aralığında olan ve sağlıklı olduğunu sigortacının belirlediği şartlar altında beyan eden tüm gerçek kişiler, sigorta teminatı kapsamına alınabilir. </w:t>
      </w:r>
      <w:r w:rsidRPr="00EA37C1">
        <w:rPr>
          <w:rStyle w:val="ui-provider"/>
          <w:rFonts w:ascii="Arial" w:eastAsia="Times New Roman" w:hAnsi="Arial" w:cs="Arial"/>
          <w14:ligatures w14:val="none"/>
        </w:rPr>
        <w:t>Sigortalı’nın poliçeye giriş yaşı ile akdedilecek poliçe süresinin toplamı 76'yı geçemez.</w:t>
      </w:r>
      <w:r w:rsidRPr="00EA37C1">
        <w:rPr>
          <w:rStyle w:val="ui-provider"/>
          <w:rFonts w:ascii="Arial" w:hAnsi="Arial" w:cs="Arial"/>
          <w14:ligatures w14:val="none"/>
        </w:rPr>
        <w:t> </w:t>
      </w:r>
      <w:r w:rsidRPr="00EA37C1">
        <w:rPr>
          <w:rFonts w:ascii="Arial" w:hAnsi="Arial" w:cs="Arial"/>
          <w:color w:val="auto"/>
          <w:kern w:val="2"/>
        </w:rPr>
        <w:t xml:space="preserve"> </w:t>
      </w:r>
    </w:p>
    <w:p w14:paraId="2F6033CE"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2. Sigortalı adayının, sigorta teminatı kapsamına alınabilmesi için, bu kişi sigorta kapsamına dahil olmak istediğini kredi kuruluşuna bildirmeli, kredi kuruluşu ile kredi sözleşmesi akdetmiş olmalı, Sigortacı’nın talep ettiği tıbbi tetkik, rapor ve diğer evrakı gerektiğinde Sigortacı’ya iletmiş olmalı ve bu bilgi ve belgeler ışığında tespit edilen hususlar Sigortacı’nın risk kabul politikalarına uygun olmalıdır.</w:t>
      </w:r>
    </w:p>
    <w:p w14:paraId="18B02CCC"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 xml:space="preserve">3. Sigortacı, sözleşmenin akdedilmesi aşamasında ve devamı sırasında, Kredi Kuruluşu, Lehtar, Sigorta Ettiren, Sigortalı Adayı/Sigortal’ının ve temsilci aracılığıyla sigorta akdediliyorsa, temsilcinin beyanını esas alacaktır. Gerek Kredi Kuruluşu, gerekse Sigorta Ettiren, Sigortalı adayı/Sigortalı, Lehtar ve temsilci, sigorta sözleşmesinin yapılması sırasında ve sözleşme süresi içinde kendisince bilinen ve bilinmesi gereken bütün halleri bildirmekle yükümlüdür. </w:t>
      </w:r>
    </w:p>
    <w:p w14:paraId="39B3421C"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 xml:space="preserve">4. Sözleşme kurulmadan önce, teklifnamede yer alan sorulara doğru cevap verilmesi, bilinen ve bilinmesi gereken bütün hususların bildirilmesi ve sözleşmenin devamı sırasında değişen durumlara </w:t>
      </w:r>
      <w:r w:rsidRPr="00EA37C1">
        <w:rPr>
          <w:rFonts w:ascii="Arial" w:hAnsi="Arial" w:cs="Arial"/>
          <w:color w:val="auto"/>
          <w:kern w:val="2"/>
        </w:rPr>
        <w:lastRenderedPageBreak/>
        <w:t>ilişkin Sigortacı’nın bilgilendirilmesi gerekmektedir. Bu yükümlülüğün ihlali halinde Sigortacı’nın, teklifi reddetme, sözleşme kurulmuşsa sözleşmeden cayma ve ek prim almak suretiyle sözleşmeye devam etme hakları saklıdır. Sözleşmenin her aşamasında Sigortacı’ya eksik veya yanlış bilgi vermekten kaçınınız. Sigortacı, kendisine bildirilen değişiklikleri değerlendirerek ayarlama şartına bağlı olarak prim artışı yapabilir, muafiyet uygulayabilir veya sözleşmeden cayabilir. Bilgilendirme yükümlülüğünün gereği gibi yerine getirilmemesi halinde, tazminat ödeme süresi uzayabilir, tazminatı eksik alma veya alamama halleri ortaya çıkabilir.</w:t>
      </w:r>
    </w:p>
    <w:p w14:paraId="2CFC0843"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5. Sigorta Ettiren/Sigortalı’nın Poliçe tanzim tarihinden itibaren otuz günlük süre içerisinde sözleşmeden cayma hakkı bulunmaktadır. Sigorta Ettiren/Sigortalı’nın herhangi bir sebeple Poliçe tanzim tarihinden itibaren otuz gün içerisinde sigortadan vazgeçmesi halinde varsa ödenen primin tamamı, ilgili Poliçe’den herhangi bir tazminat ödemesi yapılmamış olması durumunda iade edilir.</w:t>
      </w:r>
    </w:p>
    <w:p w14:paraId="5BD5AEE1" w14:textId="77777777" w:rsidR="00110690" w:rsidRPr="00EA37C1" w:rsidRDefault="00110690" w:rsidP="00110690">
      <w:pPr>
        <w:pStyle w:val="Default"/>
        <w:ind w:firstLine="360"/>
        <w:jc w:val="both"/>
        <w:rPr>
          <w:rFonts w:ascii="Arial" w:hAnsi="Arial" w:cs="Arial"/>
          <w:color w:val="auto"/>
          <w:kern w:val="2"/>
        </w:rPr>
      </w:pPr>
      <w:r w:rsidRPr="00EA37C1">
        <w:rPr>
          <w:rFonts w:ascii="Arial" w:hAnsi="Arial" w:cs="Arial"/>
          <w:color w:val="auto"/>
          <w:kern w:val="2"/>
        </w:rPr>
        <w:t>6. Bu ürün birikim ve kar payı içermemekte, sadece belirtilen risklere ilişkin teminat sağlamaktadır.</w:t>
      </w:r>
    </w:p>
    <w:p w14:paraId="2FA2E4F3"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7. Vefat Teminatı, Depremli Kaza Sonucu Tam ve Daimi Maluliyet Teminatı tutarları Sigorta Başlangıç Teminat Tutarı’nda belirtilen tutarları aşmamak kaydı ile sigortanın bağlantılı olduğu kredi borç tutarı ve vadesiyle uyumlu olarak belirlenir Poliçe tanzim tarihi itibarıyla geçerli Sigorta Başlangıç Teminat Tutarı’na, aylık kredi faiz oranına (aylık nominal) ve kredi süresine bağlı olarak azalmaktadır. Sigortacı’nın sorumluluğu, riskin gerçekleştiği tarihte geçerli olan teminat tutarı ile sınırlıdır.</w:t>
      </w:r>
    </w:p>
    <w:p w14:paraId="173617BF" w14:textId="77777777" w:rsidR="00110690" w:rsidRPr="00EA37C1" w:rsidRDefault="00110690" w:rsidP="00110690">
      <w:pPr>
        <w:pStyle w:val="Default"/>
        <w:ind w:firstLine="360"/>
        <w:jc w:val="both"/>
        <w:rPr>
          <w:rFonts w:ascii="Arial" w:hAnsi="Arial" w:cs="Arial"/>
          <w:color w:val="auto"/>
          <w:kern w:val="2"/>
        </w:rPr>
      </w:pPr>
      <w:r w:rsidRPr="00EA37C1">
        <w:rPr>
          <w:rFonts w:ascii="Arial" w:hAnsi="Arial" w:cs="Arial"/>
          <w:color w:val="auto"/>
          <w:kern w:val="2"/>
        </w:rPr>
        <w:t>8. Sigorta hakkında daha ayrıntılı bilgi edinmek ve teminat kapsamı dışında kalan haller için Genel Şartlar ve Özel Şartlar’ı inceleyiniz.</w:t>
      </w:r>
    </w:p>
    <w:p w14:paraId="1139A938" w14:textId="77777777" w:rsidR="00110690" w:rsidRPr="00EA37C1" w:rsidRDefault="00110690" w:rsidP="00110690">
      <w:pPr>
        <w:pStyle w:val="Default"/>
        <w:ind w:firstLine="360"/>
        <w:jc w:val="both"/>
        <w:rPr>
          <w:rFonts w:ascii="Arial" w:hAnsi="Arial" w:cs="Arial"/>
          <w:color w:val="auto"/>
          <w:kern w:val="2"/>
        </w:rPr>
      </w:pPr>
    </w:p>
    <w:p w14:paraId="6C1D90F9" w14:textId="77777777" w:rsidR="00110690" w:rsidRPr="00EA37C1" w:rsidRDefault="00110690" w:rsidP="00110690">
      <w:pPr>
        <w:pStyle w:val="Default"/>
        <w:ind w:firstLine="360"/>
        <w:jc w:val="both"/>
        <w:rPr>
          <w:rFonts w:ascii="Arial" w:hAnsi="Arial" w:cs="Arial"/>
          <w:color w:val="auto"/>
          <w:kern w:val="2"/>
        </w:rPr>
      </w:pPr>
    </w:p>
    <w:p w14:paraId="454F932C" w14:textId="77777777" w:rsidR="00110690" w:rsidRPr="00EA37C1" w:rsidRDefault="00110690" w:rsidP="00110690">
      <w:pPr>
        <w:pStyle w:val="Default"/>
        <w:numPr>
          <w:ilvl w:val="1"/>
          <w:numId w:val="25"/>
        </w:numPr>
        <w:ind w:left="0"/>
        <w:jc w:val="both"/>
        <w:rPr>
          <w:rFonts w:ascii="Arial" w:hAnsi="Arial" w:cs="Arial"/>
          <w:b/>
          <w:bCs/>
          <w:color w:val="auto"/>
          <w:kern w:val="2"/>
        </w:rPr>
      </w:pPr>
      <w:r w:rsidRPr="00EA37C1">
        <w:rPr>
          <w:rFonts w:ascii="Arial" w:hAnsi="Arial" w:cs="Arial"/>
          <w:b/>
          <w:bCs/>
          <w:color w:val="auto"/>
          <w:kern w:val="2"/>
        </w:rPr>
        <w:t>İSTİSNALAR</w:t>
      </w:r>
    </w:p>
    <w:p w14:paraId="18CDDC6C" w14:textId="77777777" w:rsidR="00110690" w:rsidRPr="00EA37C1" w:rsidRDefault="00110690" w:rsidP="00110690">
      <w:pPr>
        <w:pStyle w:val="Default"/>
        <w:ind w:firstLine="360"/>
        <w:jc w:val="both"/>
        <w:rPr>
          <w:rFonts w:ascii="Arial" w:hAnsi="Arial" w:cs="Arial"/>
          <w:color w:val="auto"/>
          <w:kern w:val="2"/>
        </w:rPr>
      </w:pPr>
      <w:r w:rsidRPr="00EA37C1">
        <w:rPr>
          <w:rFonts w:ascii="Arial" w:hAnsi="Arial" w:cs="Arial"/>
          <w:color w:val="auto"/>
          <w:kern w:val="2"/>
        </w:rPr>
        <w:t>Uyuşturucu madde kullanımına bağlı gerçekleşebilecek her türlü risk işbu poliçe teminatı dışındadır.</w:t>
      </w:r>
    </w:p>
    <w:p w14:paraId="2C8DE21E"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Aksi poliçe Özel Şartları’nda ya da poliçe/sertifika üzerinde belirtilmediği sürece; aşağıda yer alan meslekleri icra ederken ortaya çıkabilecek her türlü risk ve buna bağlı oluşacak tazminatlar işbu sigorta kapsamı dışındadır: Yeraltında veya sualtında çalışanlar (madenci, maden işçisi, mermer işçisi, taş ocağı veya çakıl ocağı işçisi, dalgıç, dalış hocası, balık adam gibi), patlayıcı/yanıcı madde ile çalışanlar (patlayıcı uzmanı gibi), yolcu sıfatı dışında hava/deniz yolu ile seyahat edenler (pilot, hostes, uçuş eğitmeni, gemi kaptanı, yük taşıyıcı (gemi) gibi), fırıncı, kaynakçı, profesyonel dağcı/dağcılık sporcusu, çatı kaplayıcısı, at binicisi, her tür inşaat isçisi, demirci/dökümcü, profesyonel veya amatör olarak her tür sporcu ve hız yarışmalarına katılanlar (ralli, motosiklet yarışları gibi) ve motorlu kuryeler.</w:t>
      </w:r>
    </w:p>
    <w:p w14:paraId="5A286C4B" w14:textId="77777777" w:rsidR="00110690" w:rsidRPr="00EA37C1" w:rsidRDefault="00110690" w:rsidP="00110690">
      <w:pPr>
        <w:pStyle w:val="Default"/>
        <w:jc w:val="both"/>
        <w:rPr>
          <w:rFonts w:ascii="Arial" w:hAnsi="Arial" w:cs="Arial"/>
          <w:b/>
          <w:bCs/>
          <w:color w:val="auto"/>
          <w:kern w:val="2"/>
        </w:rPr>
      </w:pPr>
    </w:p>
    <w:p w14:paraId="5BCF5974" w14:textId="77777777" w:rsidR="00110690" w:rsidRPr="00EA37C1" w:rsidRDefault="00110690" w:rsidP="00110690">
      <w:pPr>
        <w:pStyle w:val="Default"/>
        <w:numPr>
          <w:ilvl w:val="1"/>
          <w:numId w:val="25"/>
        </w:numPr>
        <w:ind w:left="0"/>
        <w:jc w:val="both"/>
        <w:rPr>
          <w:rFonts w:ascii="Arial" w:hAnsi="Arial" w:cs="Arial"/>
          <w:b/>
          <w:bCs/>
          <w:color w:val="auto"/>
          <w:kern w:val="2"/>
        </w:rPr>
      </w:pPr>
      <w:r w:rsidRPr="00EA37C1">
        <w:rPr>
          <w:rFonts w:ascii="Arial" w:hAnsi="Arial" w:cs="Arial"/>
          <w:b/>
          <w:bCs/>
          <w:color w:val="auto"/>
          <w:kern w:val="2"/>
        </w:rPr>
        <w:t>SİGORTA ŞİRKETİ’NİN SORUMLULUĞUNUN SONA ERMESİ</w:t>
      </w:r>
    </w:p>
    <w:p w14:paraId="3CA799AC"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Aşağıdaki hallerde Sigortacı’nın, Sigortalı’ya karşı sorumluluğu sona erer:</w:t>
      </w:r>
    </w:p>
    <w:p w14:paraId="04BF2FDC" w14:textId="77777777" w:rsidR="00110690" w:rsidRPr="00EA37C1" w:rsidRDefault="00110690" w:rsidP="00110690">
      <w:pPr>
        <w:pStyle w:val="Default"/>
        <w:jc w:val="both"/>
        <w:rPr>
          <w:rStyle w:val="ui-provider"/>
          <w:rFonts w:ascii="Arial" w:hAnsi="Arial" w:cs="Arial"/>
        </w:rPr>
      </w:pPr>
      <w:r w:rsidRPr="00EA37C1">
        <w:rPr>
          <w:rFonts w:ascii="Arial" w:hAnsi="Arial" w:cs="Arial"/>
          <w:color w:val="auto"/>
          <w:kern w:val="2"/>
        </w:rPr>
        <w:t>1) Dain-i Mürtehin'den kredi alan Sigortalı’nın  76 yaşını doldurduğu tarih itibarıyla (şu kadar ki; 76 (yetmiş altı) yaşını doldurduğu tarihin gün ay yıl olarak sigorta bitiş tarihinden önce olması halinde teminat sigorta bitiş tarihine kadar devam eder.)</w:t>
      </w:r>
    </w:p>
    <w:p w14:paraId="359BAC44"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2) Sigortalı’nın Dain-i Mürtehin ile kredi ilişkisinin bittiği tarihte.</w:t>
      </w:r>
    </w:p>
    <w:p w14:paraId="302C8006" w14:textId="77777777" w:rsidR="00110690" w:rsidRPr="00EA37C1" w:rsidRDefault="00110690" w:rsidP="00110690">
      <w:pPr>
        <w:pStyle w:val="Default"/>
        <w:jc w:val="both"/>
        <w:rPr>
          <w:rFonts w:ascii="Arial" w:hAnsi="Arial" w:cs="Arial"/>
          <w:color w:val="auto"/>
          <w:kern w:val="2"/>
        </w:rPr>
      </w:pPr>
      <w:r w:rsidRPr="00EA37C1">
        <w:rPr>
          <w:rFonts w:ascii="Tahoma" w:hAnsi="Tahoma" w:cs="Tahoma"/>
          <w:color w:val="auto"/>
          <w:kern w:val="2"/>
        </w:rPr>
        <w:t>﻿﻿﻿</w:t>
      </w:r>
      <w:r w:rsidRPr="00EA37C1">
        <w:rPr>
          <w:rFonts w:ascii="Arial" w:hAnsi="Arial" w:cs="Arial"/>
          <w:color w:val="auto"/>
          <w:kern w:val="2"/>
        </w:rPr>
        <w:t>3) Vefat halinin gerçekleştiği tarihte.</w:t>
      </w:r>
    </w:p>
    <w:p w14:paraId="36383F6C"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 xml:space="preserve">4) </w:t>
      </w:r>
      <w:r w:rsidRPr="00EA37C1">
        <w:rPr>
          <w:rFonts w:ascii="Arial" w:hAnsi="Arial" w:cs="Arial"/>
          <w14:ligatures w14:val="none"/>
        </w:rPr>
        <w:t>Kaza sonucu Tam ve Daimi Maluliyet teminatının ödenmesi halinde</w:t>
      </w:r>
      <w:r w:rsidRPr="00EA37C1">
        <w:rPr>
          <w:rFonts w:ascii="Arial" w:hAnsi="Arial" w:cs="Arial"/>
          <w:b/>
          <w:bCs/>
          <w14:ligatures w14:val="none"/>
        </w:rPr>
        <w:t>,</w:t>
      </w:r>
    </w:p>
    <w:p w14:paraId="26E5D286" w14:textId="77777777" w:rsidR="00110690" w:rsidRPr="00EA37C1" w:rsidRDefault="00110690" w:rsidP="00110690">
      <w:pPr>
        <w:pStyle w:val="Default"/>
        <w:ind w:left="-426"/>
        <w:jc w:val="both"/>
        <w:rPr>
          <w:rFonts w:ascii="Arial" w:hAnsi="Arial" w:cs="Arial"/>
          <w:color w:val="auto"/>
          <w:kern w:val="2"/>
        </w:rPr>
      </w:pPr>
      <w:r w:rsidRPr="00EA37C1">
        <w:rPr>
          <w:rFonts w:ascii="Tahoma" w:hAnsi="Tahoma" w:cs="Tahoma"/>
          <w:color w:val="auto"/>
          <w:kern w:val="2"/>
        </w:rPr>
        <w:t>﻿﻿﻿</w:t>
      </w:r>
      <w:r w:rsidRPr="00EA37C1">
        <w:rPr>
          <w:rFonts w:ascii="Arial" w:hAnsi="Arial" w:cs="Arial"/>
          <w:color w:val="auto"/>
          <w:kern w:val="2"/>
        </w:rPr>
        <w:tab/>
        <w:t>5) Sigorta'nın iptal edildiği tarihte,</w:t>
      </w:r>
    </w:p>
    <w:p w14:paraId="59CA32AC" w14:textId="77777777" w:rsidR="00110690" w:rsidRPr="00EA37C1" w:rsidRDefault="00110690" w:rsidP="00110690">
      <w:pPr>
        <w:pStyle w:val="Default"/>
        <w:jc w:val="both"/>
        <w:rPr>
          <w:rFonts w:ascii="Arial" w:hAnsi="Arial" w:cs="Arial"/>
          <w:color w:val="auto"/>
          <w:kern w:val="2"/>
        </w:rPr>
      </w:pPr>
    </w:p>
    <w:p w14:paraId="3D06E213" w14:textId="77777777" w:rsidR="00110690" w:rsidRPr="00EA37C1" w:rsidRDefault="00110690" w:rsidP="00110690">
      <w:pPr>
        <w:pStyle w:val="Default"/>
        <w:jc w:val="both"/>
        <w:rPr>
          <w:rFonts w:ascii="Arial" w:hAnsi="Arial" w:cs="Arial"/>
          <w:color w:val="auto"/>
          <w:kern w:val="2"/>
        </w:rPr>
      </w:pPr>
    </w:p>
    <w:p w14:paraId="4C1BDAD4" w14:textId="77777777" w:rsidR="00110690" w:rsidRPr="00EA37C1" w:rsidRDefault="00110690" w:rsidP="00110690">
      <w:pPr>
        <w:pStyle w:val="NormalWeb"/>
        <w:numPr>
          <w:ilvl w:val="0"/>
          <w:numId w:val="24"/>
        </w:numPr>
        <w:spacing w:before="0" w:beforeAutospacing="0" w:after="0" w:afterAutospacing="0"/>
        <w:ind w:left="0"/>
        <w:rPr>
          <w:rFonts w:ascii="Arial" w:hAnsi="Arial" w:cs="Arial"/>
          <w:b/>
          <w:bCs/>
          <w:kern w:val="2"/>
          <w:sz w:val="24"/>
          <w:szCs w:val="24"/>
          <w:lang w:eastAsia="en-US"/>
          <w14:ligatures w14:val="standardContextual"/>
        </w:rPr>
      </w:pPr>
      <w:bookmarkStart w:id="1" w:name="_Hlk179548979"/>
      <w:r w:rsidRPr="00EA37C1">
        <w:rPr>
          <w:rFonts w:ascii="Arial" w:hAnsi="Arial" w:cs="Arial"/>
          <w:b/>
          <w:bCs/>
          <w:kern w:val="2"/>
          <w:sz w:val="24"/>
          <w:szCs w:val="24"/>
          <w:lang w:eastAsia="en-US"/>
          <w14:ligatures w14:val="standardContextual"/>
        </w:rPr>
        <w:t>ANA TEMINAT İSTİSNALARI</w:t>
      </w:r>
    </w:p>
    <w:p w14:paraId="63A6CE61" w14:textId="77777777" w:rsidR="00110690" w:rsidRPr="00EA37C1" w:rsidRDefault="00110690" w:rsidP="00110690">
      <w:pPr>
        <w:pStyle w:val="NormalWeb"/>
        <w:spacing w:before="0" w:beforeAutospacing="0" w:after="0" w:afterAutospacing="0"/>
        <w:jc w:val="both"/>
        <w:rPr>
          <w:rFonts w:ascii="Arial" w:hAnsi="Arial" w:cs="Arial"/>
          <w:kern w:val="2"/>
          <w:sz w:val="24"/>
          <w:szCs w:val="24"/>
          <w:lang w:eastAsia="en-US"/>
          <w14:ligatures w14:val="standardContextual"/>
        </w:rPr>
      </w:pPr>
      <w:r w:rsidRPr="00EA37C1">
        <w:rPr>
          <w:rFonts w:ascii="Arial" w:hAnsi="Arial" w:cs="Arial"/>
          <w:kern w:val="2"/>
          <w:sz w:val="24"/>
          <w:szCs w:val="24"/>
          <w:lang w:eastAsia="en-US"/>
          <w14:ligatures w14:val="standardContextual"/>
        </w:rPr>
        <w:t xml:space="preserve">Vefat teminatı ile ilgili istisnalar Hayat Sigortaları Genel Şartları’na tabiidir. Depremli Kaza Sonucu Tam ve Daimi Maluliyet Teminatı ile ilgili istisnalar Ferdi Kaza Sigortası Genel Sartları’na tabiidir. Bir kaza, Vefat ve Depremli Kaza Sonucu Tam ve Daimi Maluliyet Tazminatına aynı zamanda hak kazandırmaz. </w:t>
      </w:r>
    </w:p>
    <w:bookmarkEnd w:id="1"/>
    <w:p w14:paraId="4FB12B50" w14:textId="77777777" w:rsidR="00110690" w:rsidRDefault="00110690" w:rsidP="00110690">
      <w:pPr>
        <w:pStyle w:val="Default"/>
        <w:rPr>
          <w:rFonts w:ascii="Arial" w:hAnsi="Arial" w:cs="Arial"/>
          <w:b/>
          <w:bCs/>
          <w:color w:val="auto"/>
          <w:kern w:val="2"/>
        </w:rPr>
      </w:pPr>
    </w:p>
    <w:p w14:paraId="2C87C2D2" w14:textId="77777777" w:rsidR="00245FD8" w:rsidRDefault="00245FD8" w:rsidP="00110690">
      <w:pPr>
        <w:pStyle w:val="Default"/>
        <w:rPr>
          <w:rFonts w:ascii="Arial" w:hAnsi="Arial" w:cs="Arial"/>
          <w:b/>
          <w:bCs/>
          <w:color w:val="auto"/>
          <w:kern w:val="2"/>
        </w:rPr>
      </w:pPr>
    </w:p>
    <w:p w14:paraId="7C3D2A43" w14:textId="77777777" w:rsidR="00245FD8" w:rsidRDefault="00245FD8" w:rsidP="00110690">
      <w:pPr>
        <w:pStyle w:val="Default"/>
        <w:rPr>
          <w:rFonts w:ascii="Arial" w:hAnsi="Arial" w:cs="Arial"/>
          <w:b/>
          <w:bCs/>
          <w:color w:val="auto"/>
          <w:kern w:val="2"/>
        </w:rPr>
      </w:pPr>
    </w:p>
    <w:p w14:paraId="66D94FB1" w14:textId="77777777" w:rsidR="00245FD8" w:rsidRDefault="00245FD8" w:rsidP="00110690">
      <w:pPr>
        <w:pStyle w:val="Default"/>
        <w:rPr>
          <w:rFonts w:ascii="Arial" w:hAnsi="Arial" w:cs="Arial"/>
          <w:b/>
          <w:bCs/>
          <w:color w:val="auto"/>
          <w:kern w:val="2"/>
        </w:rPr>
      </w:pPr>
    </w:p>
    <w:p w14:paraId="7389271D" w14:textId="77777777" w:rsidR="00245FD8" w:rsidRPr="00EA37C1" w:rsidRDefault="00245FD8" w:rsidP="00110690">
      <w:pPr>
        <w:pStyle w:val="Default"/>
        <w:rPr>
          <w:rFonts w:ascii="Arial" w:hAnsi="Arial" w:cs="Arial"/>
          <w:b/>
          <w:bCs/>
          <w:color w:val="auto"/>
          <w:kern w:val="2"/>
        </w:rPr>
      </w:pPr>
    </w:p>
    <w:p w14:paraId="5AD783D6" w14:textId="77777777" w:rsidR="00110690" w:rsidRPr="00EA37C1" w:rsidRDefault="00110690" w:rsidP="00110690">
      <w:pPr>
        <w:pStyle w:val="Default"/>
        <w:rPr>
          <w:rFonts w:ascii="Arial" w:hAnsi="Arial" w:cs="Arial"/>
          <w:b/>
          <w:bCs/>
          <w:color w:val="auto"/>
          <w:kern w:val="2"/>
        </w:rPr>
      </w:pPr>
      <w:r w:rsidRPr="00EA37C1">
        <w:rPr>
          <w:rFonts w:ascii="Arial" w:hAnsi="Arial" w:cs="Arial"/>
          <w:b/>
          <w:bCs/>
          <w:color w:val="auto"/>
          <w:kern w:val="2"/>
        </w:rPr>
        <w:lastRenderedPageBreak/>
        <w:t>A.1. Vefat Teminatı Kapsam Dışı Kalan Haller</w:t>
      </w:r>
    </w:p>
    <w:p w14:paraId="18E9988A" w14:textId="77777777" w:rsidR="00110690" w:rsidRPr="00EA37C1" w:rsidRDefault="00110690" w:rsidP="00110690">
      <w:pPr>
        <w:pStyle w:val="Default"/>
        <w:rPr>
          <w:rFonts w:ascii="Arial" w:hAnsi="Arial" w:cs="Arial"/>
          <w:color w:val="auto"/>
          <w:kern w:val="2"/>
        </w:rPr>
      </w:pPr>
    </w:p>
    <w:p w14:paraId="548D99E8"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 xml:space="preserve">1)Sigortalının, intihar veya intihara teşebbüs sonucunda ölmesi teminat dışındadır. Bu durumda sigortacı, sigortalının intihar veya intihara teşebbüs sonucu öldüğü tarihte sigortanın kazanılmamış primler karşılığını veya aktüeryal matematik karşılığını ve varsa kâr payını öder. Ancak; </w:t>
      </w:r>
    </w:p>
    <w:p w14:paraId="575646D3"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 xml:space="preserve">a.Sözleşmede daha kısa bir süre kararlaştırılmamışsa, yenilemeler de dâhil olmak üzere sigorta süresinin başlangıcından itibaren üç yıl dolmadan önce sigortalı, akli melekelerinde bir rahatsızlık sebebiyle intihar veya intihara teşebbüs sonucu ölmüşse ya da </w:t>
      </w:r>
    </w:p>
    <w:p w14:paraId="23E7FBEC"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 xml:space="preserve">b.Sözleşmede daha kısa bir süre kararlaştırılmamışsa, ölüm ihtimaline karşı yapılmış olan ve yenilemeler de dâhil olmak üzere en az üç yıldan beri devam eden bir sözleşmede, sigortalı, bu süre geçtikten sonra intihar ederse veya intihara teşebbüs sonucunda ölürse, sigortacı sigorta bedelini ödemekle yükümlüdür. </w:t>
      </w:r>
    </w:p>
    <w:p w14:paraId="15B85C76"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 xml:space="preserve">2)Sigorta ettiren, sigorta bedelini ödeme borcunun doğmasını sağlamak amacıyla sigortalıyı öldürür veya öldürülmesinde herhangi bir şekilde suç ortaklığı ederse, sigortacı, sigorta bedeli ödeme borcundan kurtulur. Lehtar, sigortalıyı öldürmüş veya onun öldürülmesinde herhangi bir şekilde suç ortaklığı etmişse, sigorta bedelini talep hakkını kaybeder; bu bedel, ölen sigortalının mirasçılarına ödenir. </w:t>
      </w:r>
    </w:p>
    <w:p w14:paraId="5CBFD888"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 xml:space="preserve">3)Sigortalının münhasıran uyuşturucu veya uyarıcı madde kullanımı ya da suç işlemek veya suça teşebbüs eylemleri sebebiyle ölümü halinde sigorta bedeli ödenmez; sigortacı, kazanılmamış primler karşılığını veya aktüeryal matematik karşılığını ve varsa kâr payını ödemekle yükümlüdür. </w:t>
      </w:r>
    </w:p>
    <w:p w14:paraId="46E2C60D"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 xml:space="preserve">4)Sigorta sözleşmesinin yapılması esnasında sigorta ettirenin veya sigortalının beyanına ya da sigortacının erişimine izin verdiği tıbbi kayıtlarına göre sigortalının sözleşmenin yapılması esnasında veya öncesinde mevcut rahatsızlıkları ve tıbbi değerlendirmeye göre bunlara bağlı olarak ortaya çıkabilecek rahatsızlıklar sebebiyle ölüm rizikosu, açıkça poliçede belirtilmiş olmak kaydıyla teminat kapsamı dışında bırakılabilir. </w:t>
      </w:r>
    </w:p>
    <w:p w14:paraId="04D4C91A"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 xml:space="preserve">5)Aşağıda belirtilen hallerden kaynaklı ölümler, aksi kararlaştırılmış olmadıkça sigorta teminatı dışındadır. Sigortalının belirtilen bu sebepler yüzünden ölümü halinde ölüm teminatı ödenmez; sigortacı kazanılmamış primler karşılığını veya aktüeryal matematik karşılığını ve varsa kâr payını ödemekle yükümlüdür. </w:t>
      </w:r>
    </w:p>
    <w:p w14:paraId="72339EE4"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 xml:space="preserve">a.İlan edilmiş olsun olmasın savaş, her türlü savaş olayları, istila, yabancı düşman hareketleri, çarpışma, </w:t>
      </w:r>
    </w:p>
    <w:p w14:paraId="416396BA"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 xml:space="preserve">b.İhtilal, isyan, ayaklanma ya da nükleer, biyolojik, kimyasal terör veya 3713 sayılı Terörle Mücadele Kanunu uyarınca terör eylemi olarak nitelenen eylemlere bizzat iştirak, </w:t>
      </w:r>
    </w:p>
    <w:p w14:paraId="249A27D4" w14:textId="77777777" w:rsidR="00110690" w:rsidRDefault="00110690" w:rsidP="00110690">
      <w:pPr>
        <w:pStyle w:val="Default"/>
        <w:jc w:val="both"/>
        <w:rPr>
          <w:rFonts w:ascii="Arial" w:hAnsi="Arial" w:cs="Arial"/>
          <w:color w:val="auto"/>
          <w:kern w:val="2"/>
        </w:rPr>
      </w:pPr>
      <w:r w:rsidRPr="00EA37C1">
        <w:rPr>
          <w:rFonts w:ascii="Arial" w:hAnsi="Arial" w:cs="Arial"/>
          <w:color w:val="auto"/>
          <w:kern w:val="2"/>
        </w:rPr>
        <w:t xml:space="preserve">c.Nükleer, biyolojik veya kimyasal silah kullanımı ya da nükleer, radyoaktif, biyolojik veya kimyasal maddelerin açığa çıkmasına neden olacak her türlü saldırı veya sabotaj; tedavi amaçlı olanlar hariç nükleer reaksiyon, radyasyon, kirlenme gibi nükleer rizikolar. </w:t>
      </w:r>
    </w:p>
    <w:p w14:paraId="2A31D434" w14:textId="77777777" w:rsidR="00E93209" w:rsidRDefault="00E93209" w:rsidP="00110690">
      <w:pPr>
        <w:pStyle w:val="Default"/>
        <w:jc w:val="both"/>
        <w:rPr>
          <w:rFonts w:ascii="Arial" w:hAnsi="Arial" w:cs="Arial"/>
          <w:color w:val="auto"/>
          <w:kern w:val="2"/>
        </w:rPr>
      </w:pPr>
    </w:p>
    <w:p w14:paraId="009B813F" w14:textId="77777777" w:rsidR="00110690" w:rsidRPr="00EA37C1" w:rsidRDefault="00110690" w:rsidP="00110690">
      <w:pPr>
        <w:spacing w:line="240" w:lineRule="auto"/>
        <w:rPr>
          <w:rFonts w:ascii="Arial" w:hAnsi="Arial" w:cs="Arial"/>
          <w:b/>
          <w:bCs/>
        </w:rPr>
      </w:pPr>
      <w:r w:rsidRPr="00EA37C1">
        <w:rPr>
          <w:rFonts w:ascii="Arial" w:hAnsi="Arial" w:cs="Arial"/>
          <w:b/>
          <w:bCs/>
        </w:rPr>
        <w:t>A.2. Depremli Kaza Sonucu Tam ve Daimi Maluliyet Teminatı Kapsam Dışı Kalan Haller</w:t>
      </w:r>
    </w:p>
    <w:p w14:paraId="68BA09E7"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 xml:space="preserve">1)Her nevi hastalıklarla bunların neticelerinin ve marazi bir halin, </w:t>
      </w:r>
    </w:p>
    <w:p w14:paraId="441ADE16"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 xml:space="preserve">2)Sigortanın şumulüne giren bir kaza neticesinde vukua gelmediği takdirde, suhunetin, donma, güneş çarpması ve konjestion gibi tesirlerinin, </w:t>
      </w:r>
    </w:p>
    <w:p w14:paraId="55C6D81E"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 xml:space="preserve">3)Herhangi akıl ve ruh haleti ile olursa olsun, intiharın veya intihara teşebbüsün, </w:t>
      </w:r>
    </w:p>
    <w:p w14:paraId="485DE6D7"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 xml:space="preserve">4)Aşikar sarhoşluğun, sigortanın şumulüne giren bir kazanın icap ettirmediği ahvalde uyuşturucu madde kullanmanın, ilaç ve zararlı madde almanın, </w:t>
      </w:r>
    </w:p>
    <w:p w14:paraId="556DAE2E"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 xml:space="preserve">5)Sigortanın şumulüne giren bir kazanın icap ettirmediği cerrahi müdahalenin (ameliyatın) ve her türlü şua tatbikinin, tevlit ettiği vefat hali veya cismani arızalar, </w:t>
      </w:r>
    </w:p>
    <w:p w14:paraId="6BC00003"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 xml:space="preserve">6)Harp veya harp mahiyetindeki harekat, ihtilal, isyan, ayaklanma veya bunlardan doğan iç kargaşalıklar, </w:t>
      </w:r>
    </w:p>
    <w:p w14:paraId="3FCD631C"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 xml:space="preserve">7)Grevlere, lokavt edilmiş işçi hareketlerine, halk hareketlerine kavgalara iştirak, </w:t>
      </w:r>
    </w:p>
    <w:p w14:paraId="455FF1ED"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 xml:space="preserve">8)Cürüm ve cinayet işlemek veya bunlara teşebbüs, </w:t>
      </w:r>
    </w:p>
    <w:p w14:paraId="0CD0F940"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lastRenderedPageBreak/>
        <w:t xml:space="preserve">9)Tehlikede bulunan eşhas ve malları kurtarmak hali müstesna, sigortalının kendisini bile bile ağır tehlikeye maruz bırakacak hareketlerde bulunması, </w:t>
      </w:r>
    </w:p>
    <w:p w14:paraId="47F6D228"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 xml:space="preserve">10)3713 sayılı Terörle Mücadele Kanunu’nda belirtilen terör eylemleri ve bu eylemlerden doğan sabotaj sonucunda oluşan veya bu eylemleri önlemek ve etkilerini azaltmak amacıyla yetkili organlar tarafından yapılan müdahaleler sonucu meydana gelen biyolojik ve/veya kimyasal kirlenme, bulaşma veya zehirlenmeler nedeniyle oluşacak bütün zararlar, </w:t>
      </w:r>
    </w:p>
    <w:p w14:paraId="62E9346D"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 xml:space="preserve">11)Nükleer rizikolar veya nükleer, biyolojik ve kimyasal silah kullanımı veya nükleer, biyolojik ve kimyasal maddelerin açığa çıkmasına neden olacak her türlü saldırı ve sabotaj, </w:t>
      </w:r>
    </w:p>
    <w:p w14:paraId="278D2905"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 xml:space="preserve">12)3713 sayılı Terörle Mücadele Kanunu’nda belirtilen terör eylemleri ve buna bağlı sabotajlara katılmak, </w:t>
      </w:r>
    </w:p>
    <w:p w14:paraId="6D6B5C1C"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 xml:space="preserve">13)Suda boğulmalar, sigortanın şumulüne giren bir kaza neticesinde vuku bulmadığı takdirde sigortadan hariçtir. </w:t>
      </w:r>
    </w:p>
    <w:p w14:paraId="4AB9A052"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 xml:space="preserve">14)Motosiklet ve takma motorlu bisiklet kullanmak ve bunlara binmek, </w:t>
      </w:r>
    </w:p>
    <w:p w14:paraId="4E485742"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 xml:space="preserve">15)Açık deniz balıkçılığı ile sürek ve sürgün avları, yaban domuzu vesair vahşi hayvan avcılığı ve yüksek dağlarda avcılık, </w:t>
      </w:r>
    </w:p>
    <w:p w14:paraId="48486747"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 xml:space="preserve">16)Dağlara ve cümudiyelere tırmanma suretiyle yapılan dağcılık, kar veya buz üzerinde yapılan bilumum sporlar (kayak, patinaj, hokey ve boksley gibi); cirit oyunu, manialı binicilik, polo, ragbi, eskrim, halter, güreş, boks, basketbol, futbol ve yelken sporlar ile ağır ve tehlikeli jimnastik hareketleri ve profesyonel spor hareketleri, </w:t>
      </w:r>
    </w:p>
    <w:p w14:paraId="1CAEE2A4"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 xml:space="preserve">17)Her nevi spor müsabakaları ile sürat ve mukavemet yarışları, </w:t>
      </w:r>
    </w:p>
    <w:p w14:paraId="7C396ADE"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 xml:space="preserve">18)Havada yolcu sıfatından gayri bir sıfatla uçuş, </w:t>
      </w:r>
    </w:p>
    <w:p w14:paraId="41C5B6D1"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 xml:space="preserve">19)Sel, yanardağ püskürmesi ve yer kayması, </w:t>
      </w:r>
    </w:p>
    <w:p w14:paraId="5903469E" w14:textId="77777777" w:rsidR="00110690" w:rsidRPr="00EA37C1" w:rsidRDefault="00110690" w:rsidP="00110690">
      <w:pPr>
        <w:pStyle w:val="Default"/>
        <w:jc w:val="both"/>
        <w:rPr>
          <w:rFonts w:ascii="Arial" w:hAnsi="Arial" w:cs="Arial"/>
          <w:color w:val="auto"/>
          <w:kern w:val="2"/>
        </w:rPr>
      </w:pPr>
      <w:r w:rsidRPr="00EA37C1">
        <w:rPr>
          <w:rFonts w:ascii="Arial" w:hAnsi="Arial" w:cs="Arial"/>
          <w:color w:val="auto"/>
          <w:kern w:val="2"/>
        </w:rPr>
        <w:t>20)10’uncu maddede belirtilen zararlar ve 12’nci maddede belirtilen terör ve sabotaj eylemlerine katılma hali hariç olmak üzere, 3713 sayılı Terörle Mücadele Kanunu’nda belirtilen terör eylemleri ve sabotaj sonucunda oluşan veya bu eylemleri önlemek ve etkilerini azaltmak amacıyla yetkili organlar tarafından yapılan müdahaleler.</w:t>
      </w:r>
    </w:p>
    <w:p w14:paraId="6C8DCC5B" w14:textId="77777777" w:rsidR="00110690" w:rsidRPr="00EA37C1" w:rsidRDefault="00110690" w:rsidP="00110690">
      <w:pPr>
        <w:pStyle w:val="Default"/>
        <w:jc w:val="both"/>
        <w:rPr>
          <w:rFonts w:ascii="Arial" w:hAnsi="Arial" w:cs="Arial"/>
          <w:b/>
          <w:bCs/>
          <w:color w:val="auto"/>
          <w:kern w:val="2"/>
        </w:rPr>
      </w:pPr>
    </w:p>
    <w:p w14:paraId="16E5A3FD" w14:textId="77777777" w:rsidR="00110690" w:rsidRPr="00EA37C1" w:rsidRDefault="00110690" w:rsidP="00110690">
      <w:pPr>
        <w:pStyle w:val="Default"/>
        <w:jc w:val="both"/>
        <w:rPr>
          <w:rFonts w:ascii="Arial" w:hAnsi="Arial" w:cs="Arial"/>
          <w:b/>
          <w:bCs/>
          <w:color w:val="auto"/>
          <w:kern w:val="2"/>
        </w:rPr>
      </w:pPr>
      <w:r w:rsidRPr="00EA37C1">
        <w:rPr>
          <w:rFonts w:ascii="Arial" w:hAnsi="Arial" w:cs="Arial"/>
          <w:b/>
          <w:bCs/>
          <w:color w:val="auto"/>
          <w:kern w:val="2"/>
        </w:rPr>
        <w:t xml:space="preserve">7. DİĞER BİLGİLER </w:t>
      </w:r>
    </w:p>
    <w:p w14:paraId="02D0EE2A" w14:textId="77777777" w:rsidR="00110690" w:rsidRPr="00EA37C1" w:rsidRDefault="00110690" w:rsidP="00110690">
      <w:pPr>
        <w:pStyle w:val="Default"/>
        <w:jc w:val="both"/>
        <w:rPr>
          <w:rFonts w:ascii="Arial" w:hAnsi="Arial" w:cs="Arial"/>
          <w:color w:val="auto"/>
        </w:rPr>
      </w:pPr>
      <w:r w:rsidRPr="00EA37C1">
        <w:rPr>
          <w:rFonts w:ascii="Arial" w:hAnsi="Arial" w:cs="Arial"/>
          <w:color w:val="auto"/>
        </w:rPr>
        <w:t>Sigortacı Tahkim Sistemine üye değildir.</w:t>
      </w:r>
    </w:p>
    <w:p w14:paraId="244D7F27" w14:textId="77777777" w:rsidR="00110690" w:rsidRPr="00EA37C1" w:rsidRDefault="00110690" w:rsidP="00110690">
      <w:pPr>
        <w:pStyle w:val="Default"/>
        <w:jc w:val="both"/>
        <w:rPr>
          <w:rFonts w:ascii="Arial" w:hAnsi="Arial" w:cs="Arial"/>
          <w:b/>
          <w:bCs/>
          <w:color w:val="auto"/>
        </w:rPr>
      </w:pPr>
    </w:p>
    <w:p w14:paraId="4C13AFFF" w14:textId="77777777" w:rsidR="00110690" w:rsidRPr="00EA37C1" w:rsidRDefault="00110690" w:rsidP="00110690">
      <w:pPr>
        <w:pStyle w:val="Default"/>
        <w:jc w:val="both"/>
        <w:rPr>
          <w:rFonts w:ascii="Arial" w:hAnsi="Arial" w:cs="Arial"/>
          <w:color w:val="auto"/>
        </w:rPr>
      </w:pPr>
      <w:r w:rsidRPr="00EA37C1">
        <w:rPr>
          <w:rFonts w:ascii="Arial" w:hAnsi="Arial" w:cs="Arial"/>
          <w:b/>
          <w:bCs/>
          <w:color w:val="auto"/>
        </w:rPr>
        <w:t xml:space="preserve">8.  ŞİKAYET VE BİLGİ TALEPLERİ </w:t>
      </w:r>
    </w:p>
    <w:p w14:paraId="2DF8D6DC" w14:textId="60BE1186" w:rsidR="00110690" w:rsidRPr="00EA37C1" w:rsidRDefault="00110690" w:rsidP="00245FD8">
      <w:pPr>
        <w:pStyle w:val="Default"/>
        <w:jc w:val="both"/>
        <w:rPr>
          <w:rFonts w:ascii="Arial" w:hAnsi="Arial" w:cs="Arial"/>
          <w:b/>
          <w:bCs/>
          <w:lang w:val="tr-TR"/>
        </w:rPr>
      </w:pPr>
      <w:r w:rsidRPr="00EA37C1">
        <w:rPr>
          <w:rFonts w:ascii="Arial" w:hAnsi="Arial" w:cs="Arial"/>
          <w:color w:val="auto"/>
        </w:rPr>
        <w:t xml:space="preserve">Gerek sigorta sözleşmesinin müzakeresi ve kurulması sırasında gerekse sözleşmenin geçerli olduğu süre içinde sigortayla ilgili teknik konularda yapılacak veya yapılmış sigortacılık işlemlerinin özelikleri ve sözleşmeye konu sigorta teminatı ile sigortanın işleyişi ile ilgili tarafınıza sözlü olarak verilen bilgiler yanında sigortaya ilişkin bilgi talebi ve şikayetler için aşağıda yazılı adres ve telefonlara başvuruda bulunulabilir. Sigortacı, başvurunun kendisine ulaşmasından itibaren 15 iş günü içinde talepleri cevaplamak zorundadır. </w:t>
      </w:r>
    </w:p>
    <w:sectPr w:rsidR="00110690" w:rsidRPr="00EA37C1" w:rsidSect="006133AB">
      <w:pgSz w:w="12240" w:h="15840"/>
      <w:pgMar w:top="993" w:right="616"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F46D9" w14:textId="77777777" w:rsidR="00F72593" w:rsidRDefault="00F72593" w:rsidP="00F72593">
      <w:pPr>
        <w:spacing w:after="0" w:line="240" w:lineRule="auto"/>
      </w:pPr>
      <w:r>
        <w:separator/>
      </w:r>
    </w:p>
  </w:endnote>
  <w:endnote w:type="continuationSeparator" w:id="0">
    <w:p w14:paraId="37315ADC" w14:textId="77777777" w:rsidR="00F72593" w:rsidRDefault="00F72593" w:rsidP="00F7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auto"/>
    <w:pitch w:val="variable"/>
  </w:font>
  <w:font w:name="Zurich Sans">
    <w:altName w:val="Calibri"/>
    <w:panose1 w:val="02000500000000000000"/>
    <w:charset w:val="A2"/>
    <w:family w:val="auto"/>
    <w:pitch w:val="variable"/>
    <w:sig w:usb0="A00000AF" w:usb1="0000304B" w:usb2="00000000" w:usb3="00000000" w:csb0="0000009B" w:csb1="00000000"/>
  </w:font>
  <w:font w:name="Segoe UI">
    <w:panose1 w:val="020B0502040204020203"/>
    <w:charset w:val="A2"/>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76E06" w14:textId="77777777" w:rsidR="00F72593" w:rsidRDefault="00F72593" w:rsidP="00F72593">
      <w:pPr>
        <w:spacing w:after="0" w:line="240" w:lineRule="auto"/>
      </w:pPr>
      <w:r>
        <w:separator/>
      </w:r>
    </w:p>
  </w:footnote>
  <w:footnote w:type="continuationSeparator" w:id="0">
    <w:p w14:paraId="76606FF0" w14:textId="77777777" w:rsidR="00F72593" w:rsidRDefault="00F72593" w:rsidP="00F7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4B9BC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3E05D9"/>
    <w:multiLevelType w:val="hybridMultilevel"/>
    <w:tmpl w:val="D2B616F2"/>
    <w:lvl w:ilvl="0" w:tplc="B900E342">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42EA0"/>
    <w:multiLevelType w:val="hybridMultilevel"/>
    <w:tmpl w:val="C068FB30"/>
    <w:lvl w:ilvl="0" w:tplc="22A20388">
      <w:start w:val="5"/>
      <w:numFmt w:val="decimal"/>
      <w:lvlText w:val="%1"/>
      <w:lvlJc w:val="left"/>
      <w:pPr>
        <w:ind w:left="397"/>
      </w:pPr>
      <w:rPr>
        <w:rFonts w:ascii="Calibri" w:eastAsia="Calibri" w:hAnsi="Calibri" w:cs="Calibri"/>
        <w:b w:val="0"/>
        <w:i w:val="0"/>
        <w:strike w:val="0"/>
        <w:dstrike w:val="0"/>
        <w:color w:val="0563C1"/>
        <w:sz w:val="24"/>
        <w:szCs w:val="24"/>
        <w:u w:val="none" w:color="000000"/>
        <w:bdr w:val="none" w:sz="0" w:space="0" w:color="auto"/>
        <w:shd w:val="clear" w:color="auto" w:fill="auto"/>
        <w:vertAlign w:val="baseline"/>
      </w:rPr>
    </w:lvl>
    <w:lvl w:ilvl="1" w:tplc="D9A4F414">
      <w:start w:val="1"/>
      <w:numFmt w:val="lowerLetter"/>
      <w:lvlText w:val="%2"/>
      <w:lvlJc w:val="left"/>
      <w:pPr>
        <w:ind w:left="1089"/>
      </w:pPr>
      <w:rPr>
        <w:rFonts w:ascii="Calibri" w:eastAsia="Calibri" w:hAnsi="Calibri" w:cs="Calibri"/>
        <w:b w:val="0"/>
        <w:i w:val="0"/>
        <w:strike w:val="0"/>
        <w:dstrike w:val="0"/>
        <w:color w:val="0563C1"/>
        <w:sz w:val="24"/>
        <w:szCs w:val="24"/>
        <w:u w:val="none" w:color="000000"/>
        <w:bdr w:val="none" w:sz="0" w:space="0" w:color="auto"/>
        <w:shd w:val="clear" w:color="auto" w:fill="auto"/>
        <w:vertAlign w:val="baseline"/>
      </w:rPr>
    </w:lvl>
    <w:lvl w:ilvl="2" w:tplc="2D7EA6FE">
      <w:start w:val="1"/>
      <w:numFmt w:val="lowerRoman"/>
      <w:lvlText w:val="%3"/>
      <w:lvlJc w:val="left"/>
      <w:pPr>
        <w:ind w:left="1809"/>
      </w:pPr>
      <w:rPr>
        <w:rFonts w:ascii="Calibri" w:eastAsia="Calibri" w:hAnsi="Calibri" w:cs="Calibri"/>
        <w:b w:val="0"/>
        <w:i w:val="0"/>
        <w:strike w:val="0"/>
        <w:dstrike w:val="0"/>
        <w:color w:val="0563C1"/>
        <w:sz w:val="24"/>
        <w:szCs w:val="24"/>
        <w:u w:val="none" w:color="000000"/>
        <w:bdr w:val="none" w:sz="0" w:space="0" w:color="auto"/>
        <w:shd w:val="clear" w:color="auto" w:fill="auto"/>
        <w:vertAlign w:val="baseline"/>
      </w:rPr>
    </w:lvl>
    <w:lvl w:ilvl="3" w:tplc="D7BCFA48">
      <w:start w:val="1"/>
      <w:numFmt w:val="decimal"/>
      <w:lvlText w:val="%4"/>
      <w:lvlJc w:val="left"/>
      <w:pPr>
        <w:ind w:left="2529"/>
      </w:pPr>
      <w:rPr>
        <w:rFonts w:ascii="Calibri" w:eastAsia="Calibri" w:hAnsi="Calibri" w:cs="Calibri"/>
        <w:b w:val="0"/>
        <w:i w:val="0"/>
        <w:strike w:val="0"/>
        <w:dstrike w:val="0"/>
        <w:color w:val="0563C1"/>
        <w:sz w:val="24"/>
        <w:szCs w:val="24"/>
        <w:u w:val="none" w:color="000000"/>
        <w:bdr w:val="none" w:sz="0" w:space="0" w:color="auto"/>
        <w:shd w:val="clear" w:color="auto" w:fill="auto"/>
        <w:vertAlign w:val="baseline"/>
      </w:rPr>
    </w:lvl>
    <w:lvl w:ilvl="4" w:tplc="3D6CAE58">
      <w:start w:val="1"/>
      <w:numFmt w:val="lowerLetter"/>
      <w:lvlText w:val="%5"/>
      <w:lvlJc w:val="left"/>
      <w:pPr>
        <w:ind w:left="3249"/>
      </w:pPr>
      <w:rPr>
        <w:rFonts w:ascii="Calibri" w:eastAsia="Calibri" w:hAnsi="Calibri" w:cs="Calibri"/>
        <w:b w:val="0"/>
        <w:i w:val="0"/>
        <w:strike w:val="0"/>
        <w:dstrike w:val="0"/>
        <w:color w:val="0563C1"/>
        <w:sz w:val="24"/>
        <w:szCs w:val="24"/>
        <w:u w:val="none" w:color="000000"/>
        <w:bdr w:val="none" w:sz="0" w:space="0" w:color="auto"/>
        <w:shd w:val="clear" w:color="auto" w:fill="auto"/>
        <w:vertAlign w:val="baseline"/>
      </w:rPr>
    </w:lvl>
    <w:lvl w:ilvl="5" w:tplc="F5765522">
      <w:start w:val="1"/>
      <w:numFmt w:val="lowerRoman"/>
      <w:lvlText w:val="%6"/>
      <w:lvlJc w:val="left"/>
      <w:pPr>
        <w:ind w:left="3969"/>
      </w:pPr>
      <w:rPr>
        <w:rFonts w:ascii="Calibri" w:eastAsia="Calibri" w:hAnsi="Calibri" w:cs="Calibri"/>
        <w:b w:val="0"/>
        <w:i w:val="0"/>
        <w:strike w:val="0"/>
        <w:dstrike w:val="0"/>
        <w:color w:val="0563C1"/>
        <w:sz w:val="24"/>
        <w:szCs w:val="24"/>
        <w:u w:val="none" w:color="000000"/>
        <w:bdr w:val="none" w:sz="0" w:space="0" w:color="auto"/>
        <w:shd w:val="clear" w:color="auto" w:fill="auto"/>
        <w:vertAlign w:val="baseline"/>
      </w:rPr>
    </w:lvl>
    <w:lvl w:ilvl="6" w:tplc="879290E0">
      <w:start w:val="1"/>
      <w:numFmt w:val="decimal"/>
      <w:lvlText w:val="%7"/>
      <w:lvlJc w:val="left"/>
      <w:pPr>
        <w:ind w:left="4689"/>
      </w:pPr>
      <w:rPr>
        <w:rFonts w:ascii="Calibri" w:eastAsia="Calibri" w:hAnsi="Calibri" w:cs="Calibri"/>
        <w:b w:val="0"/>
        <w:i w:val="0"/>
        <w:strike w:val="0"/>
        <w:dstrike w:val="0"/>
        <w:color w:val="0563C1"/>
        <w:sz w:val="24"/>
        <w:szCs w:val="24"/>
        <w:u w:val="none" w:color="000000"/>
        <w:bdr w:val="none" w:sz="0" w:space="0" w:color="auto"/>
        <w:shd w:val="clear" w:color="auto" w:fill="auto"/>
        <w:vertAlign w:val="baseline"/>
      </w:rPr>
    </w:lvl>
    <w:lvl w:ilvl="7" w:tplc="6D720E6E">
      <w:start w:val="1"/>
      <w:numFmt w:val="lowerLetter"/>
      <w:lvlText w:val="%8"/>
      <w:lvlJc w:val="left"/>
      <w:pPr>
        <w:ind w:left="5409"/>
      </w:pPr>
      <w:rPr>
        <w:rFonts w:ascii="Calibri" w:eastAsia="Calibri" w:hAnsi="Calibri" w:cs="Calibri"/>
        <w:b w:val="0"/>
        <w:i w:val="0"/>
        <w:strike w:val="0"/>
        <w:dstrike w:val="0"/>
        <w:color w:val="0563C1"/>
        <w:sz w:val="24"/>
        <w:szCs w:val="24"/>
        <w:u w:val="none" w:color="000000"/>
        <w:bdr w:val="none" w:sz="0" w:space="0" w:color="auto"/>
        <w:shd w:val="clear" w:color="auto" w:fill="auto"/>
        <w:vertAlign w:val="baseline"/>
      </w:rPr>
    </w:lvl>
    <w:lvl w:ilvl="8" w:tplc="CD3C18CE">
      <w:start w:val="1"/>
      <w:numFmt w:val="lowerRoman"/>
      <w:lvlText w:val="%9"/>
      <w:lvlJc w:val="left"/>
      <w:pPr>
        <w:ind w:left="6129"/>
      </w:pPr>
      <w:rPr>
        <w:rFonts w:ascii="Calibri" w:eastAsia="Calibri" w:hAnsi="Calibri" w:cs="Calibri"/>
        <w:b w:val="0"/>
        <w:i w:val="0"/>
        <w:strike w:val="0"/>
        <w:dstrike w:val="0"/>
        <w:color w:val="0563C1"/>
        <w:sz w:val="24"/>
        <w:szCs w:val="24"/>
        <w:u w:val="none" w:color="000000"/>
        <w:bdr w:val="none" w:sz="0" w:space="0" w:color="auto"/>
        <w:shd w:val="clear" w:color="auto" w:fill="auto"/>
        <w:vertAlign w:val="baseline"/>
      </w:rPr>
    </w:lvl>
  </w:abstractNum>
  <w:abstractNum w:abstractNumId="3" w15:restartNumberingAfterBreak="0">
    <w:nsid w:val="11BF7565"/>
    <w:multiLevelType w:val="hybridMultilevel"/>
    <w:tmpl w:val="2ABAA7E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6D91B3C"/>
    <w:multiLevelType w:val="multilevel"/>
    <w:tmpl w:val="04188F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FE64632"/>
    <w:multiLevelType w:val="multilevel"/>
    <w:tmpl w:val="4FDC3A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9C57102"/>
    <w:multiLevelType w:val="hybridMultilevel"/>
    <w:tmpl w:val="67EAF2A2"/>
    <w:lvl w:ilvl="0" w:tplc="C9C4DEEE">
      <w:start w:val="4"/>
      <w:numFmt w:val="decimal"/>
      <w:lvlText w:val="%1."/>
      <w:lvlJc w:val="left"/>
      <w:pPr>
        <w:ind w:left="280" w:hanging="300"/>
      </w:pPr>
      <w:rPr>
        <w:rFonts w:ascii="Tahoma" w:eastAsia="Tahoma" w:hAnsi="Tahoma" w:cs="Tahoma" w:hint="default"/>
        <w:color w:val="EE3124"/>
        <w:w w:val="95"/>
        <w:sz w:val="24"/>
        <w:szCs w:val="24"/>
      </w:rPr>
    </w:lvl>
    <w:lvl w:ilvl="1" w:tplc="111A63AA">
      <w:start w:val="1"/>
      <w:numFmt w:val="lowerLetter"/>
      <w:lvlText w:val="%2."/>
      <w:lvlJc w:val="left"/>
      <w:pPr>
        <w:ind w:left="280" w:hanging="300"/>
      </w:pPr>
      <w:rPr>
        <w:rFonts w:ascii="Tahoma" w:eastAsia="Tahoma" w:hAnsi="Tahoma" w:cs="Tahoma" w:hint="default"/>
        <w:color w:val="EE3124"/>
        <w:w w:val="97"/>
        <w:sz w:val="24"/>
        <w:szCs w:val="24"/>
      </w:rPr>
    </w:lvl>
    <w:lvl w:ilvl="2" w:tplc="D1507E60">
      <w:numFmt w:val="bullet"/>
      <w:lvlText w:val="•"/>
      <w:lvlJc w:val="left"/>
      <w:pPr>
        <w:ind w:left="2365" w:hanging="300"/>
      </w:pPr>
      <w:rPr>
        <w:rFonts w:hint="default"/>
      </w:rPr>
    </w:lvl>
    <w:lvl w:ilvl="3" w:tplc="89EEFB68">
      <w:numFmt w:val="bullet"/>
      <w:lvlText w:val="•"/>
      <w:lvlJc w:val="left"/>
      <w:pPr>
        <w:ind w:left="3408" w:hanging="300"/>
      </w:pPr>
      <w:rPr>
        <w:rFonts w:hint="default"/>
      </w:rPr>
    </w:lvl>
    <w:lvl w:ilvl="4" w:tplc="4A3E8FF6">
      <w:numFmt w:val="bullet"/>
      <w:lvlText w:val="•"/>
      <w:lvlJc w:val="left"/>
      <w:pPr>
        <w:ind w:left="4451" w:hanging="300"/>
      </w:pPr>
      <w:rPr>
        <w:rFonts w:hint="default"/>
      </w:rPr>
    </w:lvl>
    <w:lvl w:ilvl="5" w:tplc="7DFE2066">
      <w:numFmt w:val="bullet"/>
      <w:lvlText w:val="•"/>
      <w:lvlJc w:val="left"/>
      <w:pPr>
        <w:ind w:left="5494" w:hanging="300"/>
      </w:pPr>
      <w:rPr>
        <w:rFonts w:hint="default"/>
      </w:rPr>
    </w:lvl>
    <w:lvl w:ilvl="6" w:tplc="2DF69716">
      <w:numFmt w:val="bullet"/>
      <w:lvlText w:val="•"/>
      <w:lvlJc w:val="left"/>
      <w:pPr>
        <w:ind w:left="6537" w:hanging="300"/>
      </w:pPr>
      <w:rPr>
        <w:rFonts w:hint="default"/>
      </w:rPr>
    </w:lvl>
    <w:lvl w:ilvl="7" w:tplc="9802063E">
      <w:numFmt w:val="bullet"/>
      <w:lvlText w:val="•"/>
      <w:lvlJc w:val="left"/>
      <w:pPr>
        <w:ind w:left="7580" w:hanging="300"/>
      </w:pPr>
      <w:rPr>
        <w:rFonts w:hint="default"/>
      </w:rPr>
    </w:lvl>
    <w:lvl w:ilvl="8" w:tplc="ECD06518">
      <w:numFmt w:val="bullet"/>
      <w:lvlText w:val="•"/>
      <w:lvlJc w:val="left"/>
      <w:pPr>
        <w:ind w:left="8623" w:hanging="300"/>
      </w:pPr>
      <w:rPr>
        <w:rFonts w:hint="default"/>
      </w:rPr>
    </w:lvl>
  </w:abstractNum>
  <w:abstractNum w:abstractNumId="7" w15:restartNumberingAfterBreak="0">
    <w:nsid w:val="40192E76"/>
    <w:multiLevelType w:val="hybridMultilevel"/>
    <w:tmpl w:val="A6C085AC"/>
    <w:lvl w:ilvl="0" w:tplc="0BA2C852">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1D5DC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5EC2E45"/>
    <w:multiLevelType w:val="hybridMultilevel"/>
    <w:tmpl w:val="512A229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D5B7211"/>
    <w:multiLevelType w:val="multilevel"/>
    <w:tmpl w:val="8F3EB450"/>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D893C94"/>
    <w:multiLevelType w:val="multilevel"/>
    <w:tmpl w:val="7C648A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E9B5859"/>
    <w:multiLevelType w:val="multilevel"/>
    <w:tmpl w:val="358A404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3" w15:restartNumberingAfterBreak="0">
    <w:nsid w:val="502E3660"/>
    <w:multiLevelType w:val="multilevel"/>
    <w:tmpl w:val="64B284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33728AC"/>
    <w:multiLevelType w:val="hybridMultilevel"/>
    <w:tmpl w:val="CEA4ED4A"/>
    <w:lvl w:ilvl="0" w:tplc="E3DC3462">
      <w:start w:val="1"/>
      <w:numFmt w:val="decimal"/>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64436EA"/>
    <w:multiLevelType w:val="hybridMultilevel"/>
    <w:tmpl w:val="5C7428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6EE2520"/>
    <w:multiLevelType w:val="multilevel"/>
    <w:tmpl w:val="F1782C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CE63DFA"/>
    <w:multiLevelType w:val="hybridMultilevel"/>
    <w:tmpl w:val="D2D274F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69941DA"/>
    <w:multiLevelType w:val="hybridMultilevel"/>
    <w:tmpl w:val="00F4EDE6"/>
    <w:lvl w:ilvl="0" w:tplc="55449B84">
      <w:start w:val="1"/>
      <w:numFmt w:val="bullet"/>
      <w:lvlText w:val="•"/>
      <w:lvlJc w:val="left"/>
      <w:pPr>
        <w:ind w:left="397"/>
      </w:pPr>
      <w:rPr>
        <w:rFonts w:ascii="Calibri" w:eastAsia="Calibri" w:hAnsi="Calibri" w:cs="Calibri"/>
        <w:b/>
        <w:bCs/>
        <w:i w:val="0"/>
        <w:strike w:val="0"/>
        <w:dstrike w:val="0"/>
        <w:color w:val="38385C"/>
        <w:sz w:val="17"/>
        <w:szCs w:val="17"/>
        <w:u w:val="none" w:color="000000"/>
        <w:bdr w:val="none" w:sz="0" w:space="0" w:color="auto"/>
        <w:shd w:val="clear" w:color="auto" w:fill="auto"/>
        <w:vertAlign w:val="baseline"/>
      </w:rPr>
    </w:lvl>
    <w:lvl w:ilvl="1" w:tplc="9670B05A">
      <w:start w:val="1"/>
      <w:numFmt w:val="bullet"/>
      <w:lvlText w:val="o"/>
      <w:lvlJc w:val="left"/>
      <w:pPr>
        <w:ind w:left="1089"/>
      </w:pPr>
      <w:rPr>
        <w:rFonts w:ascii="Calibri" w:eastAsia="Calibri" w:hAnsi="Calibri" w:cs="Calibri"/>
        <w:b/>
        <w:bCs/>
        <w:i w:val="0"/>
        <w:strike w:val="0"/>
        <w:dstrike w:val="0"/>
        <w:color w:val="38385C"/>
        <w:sz w:val="17"/>
        <w:szCs w:val="17"/>
        <w:u w:val="none" w:color="000000"/>
        <w:bdr w:val="none" w:sz="0" w:space="0" w:color="auto"/>
        <w:shd w:val="clear" w:color="auto" w:fill="auto"/>
        <w:vertAlign w:val="baseline"/>
      </w:rPr>
    </w:lvl>
    <w:lvl w:ilvl="2" w:tplc="1A00EA3E">
      <w:start w:val="1"/>
      <w:numFmt w:val="bullet"/>
      <w:lvlText w:val="▪"/>
      <w:lvlJc w:val="left"/>
      <w:pPr>
        <w:ind w:left="1809"/>
      </w:pPr>
      <w:rPr>
        <w:rFonts w:ascii="Calibri" w:eastAsia="Calibri" w:hAnsi="Calibri" w:cs="Calibri"/>
        <w:b/>
        <w:bCs/>
        <w:i w:val="0"/>
        <w:strike w:val="0"/>
        <w:dstrike w:val="0"/>
        <w:color w:val="38385C"/>
        <w:sz w:val="17"/>
        <w:szCs w:val="17"/>
        <w:u w:val="none" w:color="000000"/>
        <w:bdr w:val="none" w:sz="0" w:space="0" w:color="auto"/>
        <w:shd w:val="clear" w:color="auto" w:fill="auto"/>
        <w:vertAlign w:val="baseline"/>
      </w:rPr>
    </w:lvl>
    <w:lvl w:ilvl="3" w:tplc="D05E1C82">
      <w:start w:val="1"/>
      <w:numFmt w:val="bullet"/>
      <w:lvlText w:val="•"/>
      <w:lvlJc w:val="left"/>
      <w:pPr>
        <w:ind w:left="2529"/>
      </w:pPr>
      <w:rPr>
        <w:rFonts w:ascii="Calibri" w:eastAsia="Calibri" w:hAnsi="Calibri" w:cs="Calibri"/>
        <w:b/>
        <w:bCs/>
        <w:i w:val="0"/>
        <w:strike w:val="0"/>
        <w:dstrike w:val="0"/>
        <w:color w:val="38385C"/>
        <w:sz w:val="17"/>
        <w:szCs w:val="17"/>
        <w:u w:val="none" w:color="000000"/>
        <w:bdr w:val="none" w:sz="0" w:space="0" w:color="auto"/>
        <w:shd w:val="clear" w:color="auto" w:fill="auto"/>
        <w:vertAlign w:val="baseline"/>
      </w:rPr>
    </w:lvl>
    <w:lvl w:ilvl="4" w:tplc="1030439A">
      <w:start w:val="1"/>
      <w:numFmt w:val="bullet"/>
      <w:lvlText w:val="o"/>
      <w:lvlJc w:val="left"/>
      <w:pPr>
        <w:ind w:left="3249"/>
      </w:pPr>
      <w:rPr>
        <w:rFonts w:ascii="Calibri" w:eastAsia="Calibri" w:hAnsi="Calibri" w:cs="Calibri"/>
        <w:b/>
        <w:bCs/>
        <w:i w:val="0"/>
        <w:strike w:val="0"/>
        <w:dstrike w:val="0"/>
        <w:color w:val="38385C"/>
        <w:sz w:val="17"/>
        <w:szCs w:val="17"/>
        <w:u w:val="none" w:color="000000"/>
        <w:bdr w:val="none" w:sz="0" w:space="0" w:color="auto"/>
        <w:shd w:val="clear" w:color="auto" w:fill="auto"/>
        <w:vertAlign w:val="baseline"/>
      </w:rPr>
    </w:lvl>
    <w:lvl w:ilvl="5" w:tplc="D994916C">
      <w:start w:val="1"/>
      <w:numFmt w:val="bullet"/>
      <w:lvlText w:val="▪"/>
      <w:lvlJc w:val="left"/>
      <w:pPr>
        <w:ind w:left="3969"/>
      </w:pPr>
      <w:rPr>
        <w:rFonts w:ascii="Calibri" w:eastAsia="Calibri" w:hAnsi="Calibri" w:cs="Calibri"/>
        <w:b/>
        <w:bCs/>
        <w:i w:val="0"/>
        <w:strike w:val="0"/>
        <w:dstrike w:val="0"/>
        <w:color w:val="38385C"/>
        <w:sz w:val="17"/>
        <w:szCs w:val="17"/>
        <w:u w:val="none" w:color="000000"/>
        <w:bdr w:val="none" w:sz="0" w:space="0" w:color="auto"/>
        <w:shd w:val="clear" w:color="auto" w:fill="auto"/>
        <w:vertAlign w:val="baseline"/>
      </w:rPr>
    </w:lvl>
    <w:lvl w:ilvl="6" w:tplc="478C3634">
      <w:start w:val="1"/>
      <w:numFmt w:val="bullet"/>
      <w:lvlText w:val="•"/>
      <w:lvlJc w:val="left"/>
      <w:pPr>
        <w:ind w:left="4689"/>
      </w:pPr>
      <w:rPr>
        <w:rFonts w:ascii="Calibri" w:eastAsia="Calibri" w:hAnsi="Calibri" w:cs="Calibri"/>
        <w:b/>
        <w:bCs/>
        <w:i w:val="0"/>
        <w:strike w:val="0"/>
        <w:dstrike w:val="0"/>
        <w:color w:val="38385C"/>
        <w:sz w:val="17"/>
        <w:szCs w:val="17"/>
        <w:u w:val="none" w:color="000000"/>
        <w:bdr w:val="none" w:sz="0" w:space="0" w:color="auto"/>
        <w:shd w:val="clear" w:color="auto" w:fill="auto"/>
        <w:vertAlign w:val="baseline"/>
      </w:rPr>
    </w:lvl>
    <w:lvl w:ilvl="7" w:tplc="C9123A10">
      <w:start w:val="1"/>
      <w:numFmt w:val="bullet"/>
      <w:lvlText w:val="o"/>
      <w:lvlJc w:val="left"/>
      <w:pPr>
        <w:ind w:left="5409"/>
      </w:pPr>
      <w:rPr>
        <w:rFonts w:ascii="Calibri" w:eastAsia="Calibri" w:hAnsi="Calibri" w:cs="Calibri"/>
        <w:b/>
        <w:bCs/>
        <w:i w:val="0"/>
        <w:strike w:val="0"/>
        <w:dstrike w:val="0"/>
        <w:color w:val="38385C"/>
        <w:sz w:val="17"/>
        <w:szCs w:val="17"/>
        <w:u w:val="none" w:color="000000"/>
        <w:bdr w:val="none" w:sz="0" w:space="0" w:color="auto"/>
        <w:shd w:val="clear" w:color="auto" w:fill="auto"/>
        <w:vertAlign w:val="baseline"/>
      </w:rPr>
    </w:lvl>
    <w:lvl w:ilvl="8" w:tplc="CF1E5F44">
      <w:start w:val="1"/>
      <w:numFmt w:val="bullet"/>
      <w:lvlText w:val="▪"/>
      <w:lvlJc w:val="left"/>
      <w:pPr>
        <w:ind w:left="6129"/>
      </w:pPr>
      <w:rPr>
        <w:rFonts w:ascii="Calibri" w:eastAsia="Calibri" w:hAnsi="Calibri" w:cs="Calibri"/>
        <w:b/>
        <w:bCs/>
        <w:i w:val="0"/>
        <w:strike w:val="0"/>
        <w:dstrike w:val="0"/>
        <w:color w:val="38385C"/>
        <w:sz w:val="17"/>
        <w:szCs w:val="17"/>
        <w:u w:val="none" w:color="000000"/>
        <w:bdr w:val="none" w:sz="0" w:space="0" w:color="auto"/>
        <w:shd w:val="clear" w:color="auto" w:fill="auto"/>
        <w:vertAlign w:val="baseline"/>
      </w:rPr>
    </w:lvl>
  </w:abstractNum>
  <w:abstractNum w:abstractNumId="19" w15:restartNumberingAfterBreak="0">
    <w:nsid w:val="67C428EE"/>
    <w:multiLevelType w:val="multilevel"/>
    <w:tmpl w:val="F5EE6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D257198"/>
    <w:multiLevelType w:val="multilevel"/>
    <w:tmpl w:val="2A568FAE"/>
    <w:lvl w:ilvl="0">
      <w:start w:val="1"/>
      <w:numFmt w:val="decimal"/>
      <w:lvlText w:val="%1)"/>
      <w:lvlJc w:val="left"/>
      <w:pPr>
        <w:tabs>
          <w:tab w:val="num" w:pos="720"/>
        </w:tabs>
        <w:ind w:left="720" w:hanging="360"/>
      </w:pPr>
      <w:rPr>
        <w:rFonts w:asciiTheme="minorHAnsi" w:eastAsiaTheme="minorHAnsi" w:hAnsiTheme="minorHAnsi" w:cstheme="minorHAns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2D40B3B"/>
    <w:multiLevelType w:val="hybridMultilevel"/>
    <w:tmpl w:val="B6DA39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37E053B"/>
    <w:multiLevelType w:val="multilevel"/>
    <w:tmpl w:val="A1B8885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3" w15:restartNumberingAfterBreak="0">
    <w:nsid w:val="757C64EC"/>
    <w:multiLevelType w:val="hybridMultilevel"/>
    <w:tmpl w:val="559CCB7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BB93443"/>
    <w:multiLevelType w:val="hybridMultilevel"/>
    <w:tmpl w:val="4976C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491966">
    <w:abstractNumId w:val="18"/>
  </w:num>
  <w:num w:numId="2" w16cid:durableId="1568565286">
    <w:abstractNumId w:val="2"/>
  </w:num>
  <w:num w:numId="3" w16cid:durableId="269046776">
    <w:abstractNumId w:val="7"/>
  </w:num>
  <w:num w:numId="4" w16cid:durableId="723725027">
    <w:abstractNumId w:val="8"/>
  </w:num>
  <w:num w:numId="5" w16cid:durableId="2095931449">
    <w:abstractNumId w:val="0"/>
  </w:num>
  <w:num w:numId="6" w16cid:durableId="993527982">
    <w:abstractNumId w:val="23"/>
  </w:num>
  <w:num w:numId="7" w16cid:durableId="582304510">
    <w:abstractNumId w:val="14"/>
  </w:num>
  <w:num w:numId="8" w16cid:durableId="908275028">
    <w:abstractNumId w:val="24"/>
  </w:num>
  <w:num w:numId="9" w16cid:durableId="1019088616">
    <w:abstractNumId w:val="1"/>
  </w:num>
  <w:num w:numId="10" w16cid:durableId="6669067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56948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53892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81504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4381156">
    <w:abstractNumId w:val="12"/>
  </w:num>
  <w:num w:numId="15" w16cid:durableId="1191260603">
    <w:abstractNumId w:val="22"/>
  </w:num>
  <w:num w:numId="16" w16cid:durableId="1609267827">
    <w:abstractNumId w:val="21"/>
  </w:num>
  <w:num w:numId="17" w16cid:durableId="1595743579">
    <w:abstractNumId w:val="15"/>
  </w:num>
  <w:num w:numId="18" w16cid:durableId="7580210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76717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2321755">
    <w:abstractNumId w:val="17"/>
  </w:num>
  <w:num w:numId="21" w16cid:durableId="149830197">
    <w:abstractNumId w:val="6"/>
  </w:num>
  <w:num w:numId="22" w16cid:durableId="1775512679">
    <w:abstractNumId w:val="11"/>
  </w:num>
  <w:num w:numId="23" w16cid:durableId="1672105592">
    <w:abstractNumId w:val="3"/>
  </w:num>
  <w:num w:numId="24" w16cid:durableId="1629434456">
    <w:abstractNumId w:val="9"/>
  </w:num>
  <w:num w:numId="25" w16cid:durableId="18620880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593"/>
    <w:rsid w:val="00021843"/>
    <w:rsid w:val="000354F4"/>
    <w:rsid w:val="00036099"/>
    <w:rsid w:val="00053A0F"/>
    <w:rsid w:val="0006311F"/>
    <w:rsid w:val="000643E8"/>
    <w:rsid w:val="000D44CE"/>
    <w:rsid w:val="000D66F5"/>
    <w:rsid w:val="00110690"/>
    <w:rsid w:val="0011560F"/>
    <w:rsid w:val="00130120"/>
    <w:rsid w:val="00136446"/>
    <w:rsid w:val="00136899"/>
    <w:rsid w:val="00150DFD"/>
    <w:rsid w:val="001610AC"/>
    <w:rsid w:val="001E1A00"/>
    <w:rsid w:val="001E2AEC"/>
    <w:rsid w:val="00203FD0"/>
    <w:rsid w:val="00213ABF"/>
    <w:rsid w:val="00245FD8"/>
    <w:rsid w:val="002563F9"/>
    <w:rsid w:val="0027593A"/>
    <w:rsid w:val="002844EF"/>
    <w:rsid w:val="00297032"/>
    <w:rsid w:val="002A52EA"/>
    <w:rsid w:val="002A7A23"/>
    <w:rsid w:val="002B08F9"/>
    <w:rsid w:val="002F61D5"/>
    <w:rsid w:val="002F7949"/>
    <w:rsid w:val="0030173C"/>
    <w:rsid w:val="00324E71"/>
    <w:rsid w:val="0034375C"/>
    <w:rsid w:val="00356834"/>
    <w:rsid w:val="003B0489"/>
    <w:rsid w:val="003D25F7"/>
    <w:rsid w:val="003F5AE1"/>
    <w:rsid w:val="003F7218"/>
    <w:rsid w:val="0040553D"/>
    <w:rsid w:val="00430431"/>
    <w:rsid w:val="00460138"/>
    <w:rsid w:val="0048295D"/>
    <w:rsid w:val="00495142"/>
    <w:rsid w:val="00497029"/>
    <w:rsid w:val="004A7A0C"/>
    <w:rsid w:val="004C202B"/>
    <w:rsid w:val="004D0741"/>
    <w:rsid w:val="004E23AC"/>
    <w:rsid w:val="004E551A"/>
    <w:rsid w:val="005460EA"/>
    <w:rsid w:val="00551D53"/>
    <w:rsid w:val="00555C01"/>
    <w:rsid w:val="00573AC9"/>
    <w:rsid w:val="005744A6"/>
    <w:rsid w:val="005859ED"/>
    <w:rsid w:val="005C0C43"/>
    <w:rsid w:val="005C3F40"/>
    <w:rsid w:val="005D57AF"/>
    <w:rsid w:val="005F5002"/>
    <w:rsid w:val="005F5BD5"/>
    <w:rsid w:val="005F63A7"/>
    <w:rsid w:val="006133AB"/>
    <w:rsid w:val="00622BA9"/>
    <w:rsid w:val="006268B7"/>
    <w:rsid w:val="00632B89"/>
    <w:rsid w:val="0064225B"/>
    <w:rsid w:val="0065114A"/>
    <w:rsid w:val="006A6B93"/>
    <w:rsid w:val="006B33E1"/>
    <w:rsid w:val="006B4502"/>
    <w:rsid w:val="006F58C3"/>
    <w:rsid w:val="00701B32"/>
    <w:rsid w:val="00711BC4"/>
    <w:rsid w:val="00724710"/>
    <w:rsid w:val="00740EC3"/>
    <w:rsid w:val="00780A21"/>
    <w:rsid w:val="007824EF"/>
    <w:rsid w:val="0079057E"/>
    <w:rsid w:val="007C330C"/>
    <w:rsid w:val="007D0D6D"/>
    <w:rsid w:val="007D2FF4"/>
    <w:rsid w:val="00805E7D"/>
    <w:rsid w:val="00824522"/>
    <w:rsid w:val="0084030A"/>
    <w:rsid w:val="00843E6E"/>
    <w:rsid w:val="008F0D2A"/>
    <w:rsid w:val="008F577C"/>
    <w:rsid w:val="009054C0"/>
    <w:rsid w:val="0092577F"/>
    <w:rsid w:val="0096068F"/>
    <w:rsid w:val="0097293E"/>
    <w:rsid w:val="00975E10"/>
    <w:rsid w:val="00987C10"/>
    <w:rsid w:val="00994212"/>
    <w:rsid w:val="0099583D"/>
    <w:rsid w:val="009B2296"/>
    <w:rsid w:val="009D3FD5"/>
    <w:rsid w:val="009F209B"/>
    <w:rsid w:val="009F4FDD"/>
    <w:rsid w:val="009F50A4"/>
    <w:rsid w:val="00A06FD5"/>
    <w:rsid w:val="00A11110"/>
    <w:rsid w:val="00A119D7"/>
    <w:rsid w:val="00A33394"/>
    <w:rsid w:val="00A45A3D"/>
    <w:rsid w:val="00A54629"/>
    <w:rsid w:val="00AD048A"/>
    <w:rsid w:val="00B04599"/>
    <w:rsid w:val="00B21FFA"/>
    <w:rsid w:val="00B26074"/>
    <w:rsid w:val="00B27760"/>
    <w:rsid w:val="00B55491"/>
    <w:rsid w:val="00B66FB3"/>
    <w:rsid w:val="00BA373D"/>
    <w:rsid w:val="00BB40BF"/>
    <w:rsid w:val="00BB547D"/>
    <w:rsid w:val="00C06D92"/>
    <w:rsid w:val="00C1714A"/>
    <w:rsid w:val="00C363EC"/>
    <w:rsid w:val="00C9703A"/>
    <w:rsid w:val="00CB639C"/>
    <w:rsid w:val="00D029F2"/>
    <w:rsid w:val="00D30BFF"/>
    <w:rsid w:val="00D341DD"/>
    <w:rsid w:val="00D520A2"/>
    <w:rsid w:val="00D62F26"/>
    <w:rsid w:val="00D63A5B"/>
    <w:rsid w:val="00D90842"/>
    <w:rsid w:val="00DC4D8D"/>
    <w:rsid w:val="00DD00E8"/>
    <w:rsid w:val="00E13A11"/>
    <w:rsid w:val="00E15B8F"/>
    <w:rsid w:val="00E233DE"/>
    <w:rsid w:val="00E45A98"/>
    <w:rsid w:val="00E51AF0"/>
    <w:rsid w:val="00E64E4F"/>
    <w:rsid w:val="00E93209"/>
    <w:rsid w:val="00EA37C1"/>
    <w:rsid w:val="00EB73B7"/>
    <w:rsid w:val="00EC59E1"/>
    <w:rsid w:val="00ED0077"/>
    <w:rsid w:val="00ED69CA"/>
    <w:rsid w:val="00EF2D06"/>
    <w:rsid w:val="00F27152"/>
    <w:rsid w:val="00F4275E"/>
    <w:rsid w:val="00F5549D"/>
    <w:rsid w:val="00F576BD"/>
    <w:rsid w:val="00F72593"/>
    <w:rsid w:val="00FA4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FBC08"/>
  <w15:chartTrackingRefBased/>
  <w15:docId w15:val="{352495E4-83CA-45E4-945B-D34E8D0C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2A52EA"/>
    <w:pPr>
      <w:keepNext/>
      <w:keepLines/>
      <w:spacing w:after="1" w:line="259" w:lineRule="auto"/>
      <w:ind w:left="19" w:hanging="10"/>
      <w:outlineLvl w:val="0"/>
    </w:pPr>
    <w:rPr>
      <w:rFonts w:ascii="Calibri" w:eastAsia="Calibri" w:hAnsi="Calibri" w:cs="Calibri"/>
      <w:color w:val="0563C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593"/>
  </w:style>
  <w:style w:type="paragraph" w:styleId="Footer">
    <w:name w:val="footer"/>
    <w:basedOn w:val="Normal"/>
    <w:link w:val="FooterChar"/>
    <w:uiPriority w:val="99"/>
    <w:unhideWhenUsed/>
    <w:rsid w:val="00F725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593"/>
  </w:style>
  <w:style w:type="table" w:styleId="TableGrid">
    <w:name w:val="Table Grid"/>
    <w:basedOn w:val="TableNormal"/>
    <w:uiPriority w:val="39"/>
    <w:rsid w:val="00F72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2593"/>
    <w:rPr>
      <w:color w:val="467886" w:themeColor="hyperlink"/>
      <w:u w:val="single"/>
    </w:rPr>
  </w:style>
  <w:style w:type="character" w:styleId="UnresolvedMention">
    <w:name w:val="Unresolved Mention"/>
    <w:basedOn w:val="DefaultParagraphFont"/>
    <w:uiPriority w:val="99"/>
    <w:semiHidden/>
    <w:unhideWhenUsed/>
    <w:rsid w:val="00F72593"/>
    <w:rPr>
      <w:color w:val="605E5C"/>
      <w:shd w:val="clear" w:color="auto" w:fill="E1DFDD"/>
    </w:rPr>
  </w:style>
  <w:style w:type="paragraph" w:customStyle="1" w:styleId="Standard">
    <w:name w:val="Standard"/>
    <w:rsid w:val="00F72593"/>
    <w:pPr>
      <w:suppressAutoHyphens/>
      <w:autoSpaceDN w:val="0"/>
      <w:spacing w:after="0" w:line="240" w:lineRule="auto"/>
      <w:textAlignment w:val="baseline"/>
    </w:pPr>
    <w:rPr>
      <w:rFonts w:ascii="Liberation Serif" w:eastAsia="NSimSun" w:hAnsi="Liberation Serif" w:cs="Arial Unicode MS"/>
      <w:kern w:val="3"/>
      <w:lang w:val="tr-TR" w:eastAsia="zh-CN" w:bidi="hi-IN"/>
      <w14:ligatures w14:val="none"/>
    </w:rPr>
  </w:style>
  <w:style w:type="character" w:customStyle="1" w:styleId="Heading1Char">
    <w:name w:val="Heading 1 Char"/>
    <w:basedOn w:val="DefaultParagraphFont"/>
    <w:link w:val="Heading1"/>
    <w:uiPriority w:val="9"/>
    <w:rsid w:val="002A52EA"/>
    <w:rPr>
      <w:rFonts w:ascii="Calibri" w:eastAsia="Calibri" w:hAnsi="Calibri" w:cs="Calibri"/>
      <w:color w:val="0563C1"/>
      <w:szCs w:val="22"/>
    </w:rPr>
  </w:style>
  <w:style w:type="table" w:customStyle="1" w:styleId="TableGrid0">
    <w:name w:val="TableGrid"/>
    <w:rsid w:val="002A52EA"/>
    <w:pPr>
      <w:spacing w:after="0" w:line="240" w:lineRule="auto"/>
    </w:pPr>
    <w:rPr>
      <w:rFonts w:eastAsiaTheme="minorEastAsia"/>
      <w:sz w:val="22"/>
      <w:szCs w:val="22"/>
    </w:rPr>
    <w:tblPr>
      <w:tblCellMar>
        <w:top w:w="0" w:type="dxa"/>
        <w:left w:w="0" w:type="dxa"/>
        <w:bottom w:w="0" w:type="dxa"/>
        <w:right w:w="0" w:type="dxa"/>
      </w:tblCellMar>
    </w:tblPr>
  </w:style>
  <w:style w:type="character" w:styleId="CommentReference">
    <w:name w:val="annotation reference"/>
    <w:basedOn w:val="DefaultParagraphFont"/>
    <w:uiPriority w:val="99"/>
    <w:unhideWhenUsed/>
    <w:rsid w:val="00F5549D"/>
    <w:rPr>
      <w:sz w:val="16"/>
      <w:szCs w:val="16"/>
    </w:rPr>
  </w:style>
  <w:style w:type="paragraph" w:styleId="CommentText">
    <w:name w:val="annotation text"/>
    <w:basedOn w:val="Normal"/>
    <w:link w:val="CommentTextChar"/>
    <w:uiPriority w:val="99"/>
    <w:unhideWhenUsed/>
    <w:rsid w:val="00F5549D"/>
    <w:pPr>
      <w:spacing w:line="240" w:lineRule="auto"/>
    </w:pPr>
    <w:rPr>
      <w:sz w:val="20"/>
      <w:szCs w:val="20"/>
    </w:rPr>
  </w:style>
  <w:style w:type="character" w:customStyle="1" w:styleId="CommentTextChar">
    <w:name w:val="Comment Text Char"/>
    <w:basedOn w:val="DefaultParagraphFont"/>
    <w:link w:val="CommentText"/>
    <w:uiPriority w:val="99"/>
    <w:rsid w:val="00F5549D"/>
    <w:rPr>
      <w:sz w:val="20"/>
      <w:szCs w:val="20"/>
    </w:rPr>
  </w:style>
  <w:style w:type="paragraph" w:styleId="CommentSubject">
    <w:name w:val="annotation subject"/>
    <w:basedOn w:val="CommentText"/>
    <w:next w:val="CommentText"/>
    <w:link w:val="CommentSubjectChar"/>
    <w:uiPriority w:val="99"/>
    <w:semiHidden/>
    <w:unhideWhenUsed/>
    <w:rsid w:val="00F5549D"/>
    <w:rPr>
      <w:b/>
      <w:bCs/>
    </w:rPr>
  </w:style>
  <w:style w:type="character" w:customStyle="1" w:styleId="CommentSubjectChar">
    <w:name w:val="Comment Subject Char"/>
    <w:basedOn w:val="CommentTextChar"/>
    <w:link w:val="CommentSubject"/>
    <w:uiPriority w:val="99"/>
    <w:semiHidden/>
    <w:rsid w:val="00F5549D"/>
    <w:rPr>
      <w:b/>
      <w:bCs/>
      <w:sz w:val="20"/>
      <w:szCs w:val="20"/>
    </w:rPr>
  </w:style>
  <w:style w:type="paragraph" w:styleId="ListParagraph">
    <w:name w:val="List Paragraph"/>
    <w:basedOn w:val="Normal"/>
    <w:uiPriority w:val="1"/>
    <w:qFormat/>
    <w:rsid w:val="00ED0077"/>
    <w:pPr>
      <w:ind w:left="720"/>
      <w:contextualSpacing/>
    </w:pPr>
  </w:style>
  <w:style w:type="paragraph" w:customStyle="1" w:styleId="Default">
    <w:name w:val="Default"/>
    <w:rsid w:val="00C363EC"/>
    <w:pPr>
      <w:autoSpaceDE w:val="0"/>
      <w:autoSpaceDN w:val="0"/>
      <w:adjustRightInd w:val="0"/>
      <w:spacing w:after="0" w:line="240" w:lineRule="auto"/>
    </w:pPr>
    <w:rPr>
      <w:rFonts w:ascii="Zurich Sans" w:hAnsi="Zurich Sans" w:cs="Zurich Sans"/>
      <w:color w:val="000000"/>
      <w:kern w:val="0"/>
    </w:rPr>
  </w:style>
  <w:style w:type="paragraph" w:styleId="NormalWeb">
    <w:name w:val="Normal (Web)"/>
    <w:basedOn w:val="Normal"/>
    <w:uiPriority w:val="99"/>
    <w:unhideWhenUsed/>
    <w:rsid w:val="00C363EC"/>
    <w:pPr>
      <w:spacing w:before="100" w:beforeAutospacing="1" w:after="100" w:afterAutospacing="1" w:line="240" w:lineRule="auto"/>
    </w:pPr>
    <w:rPr>
      <w:rFonts w:ascii="Calibri" w:hAnsi="Calibri" w:cs="Calibri"/>
      <w:kern w:val="0"/>
      <w:sz w:val="22"/>
      <w:szCs w:val="22"/>
      <w:lang w:val="tr-TR" w:eastAsia="tr-TR"/>
      <w14:ligatures w14:val="none"/>
    </w:rPr>
  </w:style>
  <w:style w:type="character" w:styleId="Strong">
    <w:name w:val="Strong"/>
    <w:basedOn w:val="DefaultParagraphFont"/>
    <w:uiPriority w:val="22"/>
    <w:qFormat/>
    <w:rsid w:val="00C363EC"/>
    <w:rPr>
      <w:b/>
      <w:bCs/>
    </w:rPr>
  </w:style>
  <w:style w:type="character" w:customStyle="1" w:styleId="ui-provider">
    <w:name w:val="ui-provider"/>
    <w:basedOn w:val="DefaultParagraphFont"/>
    <w:rsid w:val="00711BC4"/>
  </w:style>
  <w:style w:type="paragraph" w:customStyle="1" w:styleId="pf0">
    <w:name w:val="pf0"/>
    <w:basedOn w:val="Normal"/>
    <w:rsid w:val="007D2FF4"/>
    <w:pPr>
      <w:spacing w:before="100" w:beforeAutospacing="1" w:after="100" w:afterAutospacing="1" w:line="240" w:lineRule="auto"/>
    </w:pPr>
    <w:rPr>
      <w:rFonts w:ascii="Times New Roman" w:eastAsia="Times New Roman" w:hAnsi="Times New Roman" w:cs="Times New Roman"/>
      <w:kern w:val="0"/>
      <w:lang w:val="tr-TR" w:eastAsia="tr-TR"/>
      <w14:ligatures w14:val="none"/>
    </w:rPr>
  </w:style>
  <w:style w:type="character" w:customStyle="1" w:styleId="cf01">
    <w:name w:val="cf01"/>
    <w:basedOn w:val="DefaultParagraphFont"/>
    <w:rsid w:val="007D2FF4"/>
    <w:rPr>
      <w:rFonts w:ascii="Segoe UI" w:hAnsi="Segoe UI" w:cs="Segoe UI" w:hint="default"/>
      <w:sz w:val="18"/>
      <w:szCs w:val="18"/>
    </w:rPr>
  </w:style>
  <w:style w:type="paragraph" w:styleId="BalloonText">
    <w:name w:val="Balloon Text"/>
    <w:basedOn w:val="Standard"/>
    <w:link w:val="BalloonTextChar"/>
    <w:rsid w:val="00D62F26"/>
    <w:rPr>
      <w:rFonts w:ascii="Segoe UI" w:eastAsia="Segoe UI" w:hAnsi="Segoe UI" w:cs="Segoe UI"/>
      <w:sz w:val="18"/>
      <w:szCs w:val="18"/>
    </w:rPr>
  </w:style>
  <w:style w:type="character" w:customStyle="1" w:styleId="BalloonTextChar">
    <w:name w:val="Balloon Text Char"/>
    <w:basedOn w:val="DefaultParagraphFont"/>
    <w:link w:val="BalloonText"/>
    <w:rsid w:val="00D62F26"/>
    <w:rPr>
      <w:rFonts w:ascii="Segoe UI" w:eastAsia="Segoe UI" w:hAnsi="Segoe UI" w:cs="Segoe UI"/>
      <w:kern w:val="3"/>
      <w:sz w:val="18"/>
      <w:szCs w:val="18"/>
      <w:lang w:val="tr-TR"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23188">
      <w:bodyDiv w:val="1"/>
      <w:marLeft w:val="0"/>
      <w:marRight w:val="0"/>
      <w:marTop w:val="0"/>
      <w:marBottom w:val="0"/>
      <w:divBdr>
        <w:top w:val="none" w:sz="0" w:space="0" w:color="auto"/>
        <w:left w:val="none" w:sz="0" w:space="0" w:color="auto"/>
        <w:bottom w:val="none" w:sz="0" w:space="0" w:color="auto"/>
        <w:right w:val="none" w:sz="0" w:space="0" w:color="auto"/>
      </w:divBdr>
    </w:div>
    <w:div w:id="928777844">
      <w:bodyDiv w:val="1"/>
      <w:marLeft w:val="0"/>
      <w:marRight w:val="0"/>
      <w:marTop w:val="0"/>
      <w:marBottom w:val="0"/>
      <w:divBdr>
        <w:top w:val="none" w:sz="0" w:space="0" w:color="auto"/>
        <w:left w:val="none" w:sz="0" w:space="0" w:color="auto"/>
        <w:bottom w:val="none" w:sz="0" w:space="0" w:color="auto"/>
        <w:right w:val="none" w:sz="0" w:space="0" w:color="auto"/>
      </w:divBdr>
    </w:div>
    <w:div w:id="1098982778">
      <w:bodyDiv w:val="1"/>
      <w:marLeft w:val="0"/>
      <w:marRight w:val="0"/>
      <w:marTop w:val="0"/>
      <w:marBottom w:val="0"/>
      <w:divBdr>
        <w:top w:val="none" w:sz="0" w:space="0" w:color="auto"/>
        <w:left w:val="none" w:sz="0" w:space="0" w:color="auto"/>
        <w:bottom w:val="none" w:sz="0" w:space="0" w:color="auto"/>
        <w:right w:val="none" w:sz="0" w:space="0" w:color="auto"/>
      </w:divBdr>
    </w:div>
    <w:div w:id="1288050651">
      <w:bodyDiv w:val="1"/>
      <w:marLeft w:val="0"/>
      <w:marRight w:val="0"/>
      <w:marTop w:val="0"/>
      <w:marBottom w:val="0"/>
      <w:divBdr>
        <w:top w:val="none" w:sz="0" w:space="0" w:color="auto"/>
        <w:left w:val="none" w:sz="0" w:space="0" w:color="auto"/>
        <w:bottom w:val="none" w:sz="0" w:space="0" w:color="auto"/>
        <w:right w:val="none" w:sz="0" w:space="0" w:color="auto"/>
      </w:divBdr>
    </w:div>
    <w:div w:id="157805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607A7-8BA7-4DD0-8661-5AA6347AC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3176</Words>
  <Characters>18104</Characters>
  <Application>Microsoft Office Word</Application>
  <DocSecurity>0</DocSecurity>
  <Lines>150</Lines>
  <Paragraphs>42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Yalcin (Contractor)</dc:creator>
  <cp:keywords/>
  <dc:description/>
  <cp:lastModifiedBy>Irem Torlak</cp:lastModifiedBy>
  <cp:revision>2</cp:revision>
  <dcterms:created xsi:type="dcterms:W3CDTF">2024-11-21T20:36:00Z</dcterms:created>
  <dcterms:modified xsi:type="dcterms:W3CDTF">2024-11-21T20:36:00Z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2024-10-01T10:23:06Z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a333eab5-c122-4a86-a63e-b7451433d11e</vt:lpwstr>
  </property>
  <property fmtid="{D5CDD505-2E9C-101B-9397-08002B2CF9AE}" pid="8" name="MSIP_Label_9a7ed875-cb67-40d7-9ea6-a804b08b1148_ContentBits">
    <vt:lpwstr>0</vt:lpwstr>
  </property>
</Properties>
</file>